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B5B10" w14:textId="2FA1852E" w:rsidR="0011735F" w:rsidRPr="009F25CF" w:rsidRDefault="0011735F" w:rsidP="00E11C5D">
      <w:pPr>
        <w:adjustRightInd w:val="0"/>
        <w:jc w:val="center"/>
        <w:rPr>
          <w:rFonts w:ascii="Comic Sans MS" w:hAnsi="Comic Sans MS" w:cs="Calibri"/>
          <w:b/>
          <w:bCs/>
          <w:caps/>
          <w:sz w:val="24"/>
          <w:szCs w:val="24"/>
        </w:rPr>
      </w:pPr>
      <w:r w:rsidRPr="009F25CF">
        <w:rPr>
          <w:rFonts w:ascii="Comic Sans MS" w:hAnsi="Comic Sans MS" w:cs="Calibri"/>
          <w:b/>
          <w:bCs/>
          <w:caps/>
          <w:sz w:val="24"/>
          <w:szCs w:val="24"/>
        </w:rPr>
        <w:t xml:space="preserve">République Islamique de Mauritanie </w:t>
      </w:r>
    </w:p>
    <w:p w14:paraId="48713B9F" w14:textId="77777777" w:rsidR="0011735F" w:rsidRPr="009F25CF" w:rsidRDefault="0011735F" w:rsidP="00E11C5D">
      <w:pPr>
        <w:pStyle w:val="Titre2"/>
        <w:spacing w:before="0" w:after="0"/>
        <w:jc w:val="center"/>
        <w:rPr>
          <w:rFonts w:ascii="Comic Sans MS" w:hAnsi="Comic Sans MS" w:cs="Calibri"/>
          <w:sz w:val="24"/>
          <w:szCs w:val="24"/>
        </w:rPr>
      </w:pPr>
      <w:bookmarkStart w:id="0" w:name="_Toc336250603"/>
      <w:bookmarkStart w:id="1" w:name="_Toc338592554"/>
      <w:bookmarkStart w:id="2" w:name="_Toc163134598"/>
      <w:bookmarkStart w:id="3" w:name="_Toc163137163"/>
      <w:bookmarkStart w:id="4" w:name="_Toc163232716"/>
      <w:bookmarkStart w:id="5" w:name="_Toc163232855"/>
      <w:bookmarkStart w:id="6" w:name="_Toc166364307"/>
      <w:bookmarkStart w:id="7" w:name="_Toc166937455"/>
      <w:bookmarkStart w:id="8" w:name="_Toc166937612"/>
      <w:r w:rsidRPr="009F25CF">
        <w:rPr>
          <w:rFonts w:ascii="Comic Sans MS" w:hAnsi="Comic Sans MS" w:cs="Calibri"/>
          <w:sz w:val="24"/>
          <w:szCs w:val="24"/>
        </w:rPr>
        <w:t>Honneur – Fraternité – Justice</w:t>
      </w:r>
      <w:bookmarkEnd w:id="0"/>
      <w:bookmarkEnd w:id="1"/>
      <w:bookmarkEnd w:id="2"/>
      <w:bookmarkEnd w:id="3"/>
      <w:bookmarkEnd w:id="4"/>
      <w:bookmarkEnd w:id="5"/>
      <w:bookmarkEnd w:id="6"/>
      <w:bookmarkEnd w:id="7"/>
      <w:bookmarkEnd w:id="8"/>
    </w:p>
    <w:p w14:paraId="3B090F30" w14:textId="77777777" w:rsidR="00195F07" w:rsidRPr="009F25CF" w:rsidRDefault="00060FF8" w:rsidP="00060FF8">
      <w:pPr>
        <w:jc w:val="center"/>
        <w:rPr>
          <w:rFonts w:ascii="Comic Sans MS" w:hAnsi="Comic Sans MS" w:cs="Calibri"/>
          <w:sz w:val="24"/>
          <w:szCs w:val="24"/>
        </w:rPr>
      </w:pPr>
      <w:r w:rsidRPr="009F25CF">
        <w:rPr>
          <w:rFonts w:ascii="Comic Sans MS" w:hAnsi="Comic Sans MS" w:cs="Calibri"/>
          <w:noProof/>
          <w:sz w:val="24"/>
          <w:szCs w:val="24"/>
          <w:lang w:eastAsia="en-GB"/>
        </w:rPr>
        <w:drawing>
          <wp:inline distT="0" distB="0" distL="0" distR="0" wp14:anchorId="7AA9E615" wp14:editId="78E71285">
            <wp:extent cx="790313" cy="723900"/>
            <wp:effectExtent l="0" t="0" r="0" b="0"/>
            <wp:docPr id="4" name="Image 4" descr="C:\Users\PC\Pictures\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thumbn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668" cy="737048"/>
                    </a:xfrm>
                    <a:prstGeom prst="rect">
                      <a:avLst/>
                    </a:prstGeom>
                    <a:noFill/>
                    <a:ln>
                      <a:noFill/>
                    </a:ln>
                  </pic:spPr>
                </pic:pic>
              </a:graphicData>
            </a:graphic>
          </wp:inline>
        </w:drawing>
      </w:r>
    </w:p>
    <w:p w14:paraId="659888C4" w14:textId="77777777" w:rsidR="0011735F" w:rsidRPr="009F25CF" w:rsidRDefault="0011735F" w:rsidP="00E11C5D">
      <w:pPr>
        <w:rPr>
          <w:rFonts w:ascii="Comic Sans MS" w:hAnsi="Comic Sans MS" w:cs="Calibri"/>
          <w:sz w:val="24"/>
          <w:szCs w:val="24"/>
        </w:rPr>
      </w:pPr>
    </w:p>
    <w:p w14:paraId="27C3A95C" w14:textId="77777777" w:rsidR="0011735F" w:rsidRPr="009F25CF" w:rsidRDefault="0011735F" w:rsidP="00E11C5D">
      <w:pPr>
        <w:pStyle w:val="Titre2"/>
        <w:spacing w:before="0" w:after="0"/>
        <w:jc w:val="center"/>
        <w:rPr>
          <w:rFonts w:ascii="Comic Sans MS" w:hAnsi="Comic Sans MS" w:cs="Calibri"/>
          <w:sz w:val="24"/>
          <w:szCs w:val="24"/>
        </w:rPr>
      </w:pPr>
    </w:p>
    <w:p w14:paraId="18450651" w14:textId="77777777" w:rsidR="00195F07" w:rsidRPr="009F25CF" w:rsidRDefault="00195F07" w:rsidP="00E11C5D">
      <w:pPr>
        <w:rPr>
          <w:rFonts w:ascii="Comic Sans MS" w:hAnsi="Comic Sans MS" w:cs="Calibri"/>
          <w:sz w:val="24"/>
          <w:szCs w:val="24"/>
        </w:rPr>
      </w:pPr>
    </w:p>
    <w:p w14:paraId="2B100760" w14:textId="20E6A040" w:rsidR="0011735F" w:rsidRPr="009F25CF" w:rsidRDefault="0011735F" w:rsidP="00060FF8">
      <w:pPr>
        <w:pStyle w:val="Titre2"/>
        <w:spacing w:before="0" w:after="0"/>
        <w:jc w:val="center"/>
        <w:rPr>
          <w:rFonts w:ascii="Comic Sans MS" w:hAnsi="Comic Sans MS" w:cs="Calibri"/>
          <w:i w:val="0"/>
          <w:iCs w:val="0"/>
          <w:sz w:val="32"/>
          <w:szCs w:val="32"/>
        </w:rPr>
      </w:pPr>
      <w:bookmarkStart w:id="9" w:name="_Toc163134599"/>
      <w:bookmarkStart w:id="10" w:name="_Toc163137164"/>
      <w:bookmarkStart w:id="11" w:name="_Toc163232717"/>
      <w:bookmarkStart w:id="12" w:name="_Toc163232856"/>
      <w:bookmarkStart w:id="13" w:name="_Toc166364308"/>
      <w:bookmarkStart w:id="14" w:name="_Toc336250604"/>
      <w:bookmarkStart w:id="15" w:name="_Toc338592555"/>
      <w:bookmarkStart w:id="16" w:name="_Toc166937456"/>
      <w:bookmarkStart w:id="17" w:name="_Toc166937613"/>
      <w:r w:rsidRPr="009F25CF">
        <w:rPr>
          <w:rFonts w:ascii="Comic Sans MS" w:hAnsi="Comic Sans MS" w:cs="Calibri"/>
          <w:i w:val="0"/>
          <w:iCs w:val="0"/>
          <w:sz w:val="32"/>
          <w:szCs w:val="32"/>
        </w:rPr>
        <w:t xml:space="preserve">MINISTERE DE </w:t>
      </w:r>
      <w:r w:rsidR="00BE31A3" w:rsidRPr="009F25CF">
        <w:rPr>
          <w:rFonts w:ascii="Comic Sans MS" w:hAnsi="Comic Sans MS" w:cs="Calibri"/>
          <w:i w:val="0"/>
          <w:iCs w:val="0"/>
          <w:sz w:val="32"/>
          <w:szCs w:val="32"/>
        </w:rPr>
        <w:t>L’ENVIRONNEMENT</w:t>
      </w:r>
      <w:bookmarkEnd w:id="9"/>
      <w:bookmarkEnd w:id="10"/>
      <w:bookmarkEnd w:id="11"/>
      <w:bookmarkEnd w:id="12"/>
      <w:bookmarkEnd w:id="13"/>
      <w:bookmarkEnd w:id="16"/>
      <w:bookmarkEnd w:id="17"/>
      <w:r w:rsidR="00BE31A3" w:rsidRPr="009F25CF">
        <w:rPr>
          <w:rFonts w:ascii="Comic Sans MS" w:hAnsi="Comic Sans MS" w:cs="Calibri"/>
          <w:i w:val="0"/>
          <w:iCs w:val="0"/>
          <w:sz w:val="32"/>
          <w:szCs w:val="32"/>
        </w:rPr>
        <w:t xml:space="preserve"> </w:t>
      </w:r>
      <w:bookmarkEnd w:id="14"/>
      <w:bookmarkEnd w:id="15"/>
    </w:p>
    <w:p w14:paraId="20F7BF53" w14:textId="77777777" w:rsidR="0011735F" w:rsidRPr="009F25CF" w:rsidRDefault="0011735F" w:rsidP="00E11C5D">
      <w:pPr>
        <w:pStyle w:val="Sansinterligne"/>
        <w:jc w:val="center"/>
        <w:rPr>
          <w:rFonts w:ascii="Comic Sans MS" w:hAnsi="Comic Sans MS" w:cs="Calibri"/>
          <w:b/>
          <w:bCs/>
          <w:color w:val="000000"/>
          <w:sz w:val="24"/>
          <w:szCs w:val="24"/>
        </w:rPr>
      </w:pPr>
    </w:p>
    <w:p w14:paraId="01120E06" w14:textId="77777777" w:rsidR="005021CB" w:rsidRDefault="00414C7B" w:rsidP="00D41958">
      <w:pPr>
        <w:ind w:left="-360"/>
        <w:jc w:val="center"/>
        <w:rPr>
          <w:rFonts w:ascii="Comic Sans MS" w:hAnsi="Comic Sans MS" w:cs="Calibri"/>
          <w:b/>
          <w:sz w:val="24"/>
          <w:szCs w:val="24"/>
        </w:rPr>
      </w:pPr>
      <w:r w:rsidRPr="009F25CF">
        <w:rPr>
          <w:rFonts w:ascii="Comic Sans MS" w:hAnsi="Comic Sans MS" w:cs="Calibri"/>
          <w:b/>
          <w:sz w:val="24"/>
          <w:szCs w:val="24"/>
        </w:rPr>
        <w:t xml:space="preserve">CINQUIEME COMMUNICATION NATIONALE SUR </w:t>
      </w:r>
    </w:p>
    <w:p w14:paraId="4FFAC2C6" w14:textId="25C7E7BD" w:rsidR="00D41958" w:rsidRPr="009F25CF" w:rsidRDefault="00414C7B" w:rsidP="00D41958">
      <w:pPr>
        <w:ind w:left="-360"/>
        <w:jc w:val="center"/>
        <w:rPr>
          <w:rFonts w:ascii="Comic Sans MS" w:hAnsi="Comic Sans MS" w:cs="Calibri"/>
          <w:b/>
          <w:sz w:val="24"/>
          <w:szCs w:val="24"/>
        </w:rPr>
      </w:pPr>
      <w:r w:rsidRPr="009F25CF">
        <w:rPr>
          <w:rFonts w:ascii="Comic Sans MS" w:hAnsi="Comic Sans MS" w:cs="Calibri"/>
          <w:b/>
          <w:sz w:val="24"/>
          <w:szCs w:val="24"/>
        </w:rPr>
        <w:t>LE CHANGEMENT CLIMATIQUE (NC5)</w:t>
      </w:r>
    </w:p>
    <w:p w14:paraId="620EF7E6" w14:textId="77777777" w:rsidR="0011735F" w:rsidRPr="009F25CF" w:rsidRDefault="0011735F" w:rsidP="00E11C5D">
      <w:pPr>
        <w:pStyle w:val="Sansinterligne"/>
        <w:jc w:val="center"/>
        <w:rPr>
          <w:rFonts w:ascii="Comic Sans MS" w:hAnsi="Comic Sans MS" w:cs="Calibri"/>
          <w:b/>
          <w:bCs/>
          <w:color w:val="000000"/>
          <w:sz w:val="24"/>
          <w:szCs w:val="24"/>
        </w:rPr>
      </w:pPr>
    </w:p>
    <w:p w14:paraId="734927D1" w14:textId="77777777" w:rsidR="00D41958" w:rsidRPr="009F25CF" w:rsidRDefault="00D41958" w:rsidP="00E11C5D">
      <w:pPr>
        <w:pStyle w:val="Sansinterligne"/>
        <w:jc w:val="center"/>
        <w:rPr>
          <w:rFonts w:ascii="Comic Sans MS" w:hAnsi="Comic Sans MS" w:cs="Calibri"/>
          <w:b/>
          <w:bCs/>
          <w:color w:val="000000"/>
          <w:sz w:val="24"/>
          <w:szCs w:val="24"/>
        </w:rPr>
      </w:pPr>
    </w:p>
    <w:p w14:paraId="32E56826" w14:textId="77777777" w:rsidR="00414C7B" w:rsidRPr="009F25CF" w:rsidRDefault="00414C7B" w:rsidP="00E11C5D">
      <w:pPr>
        <w:pStyle w:val="Sansinterligne"/>
        <w:jc w:val="center"/>
        <w:rPr>
          <w:rFonts w:ascii="Comic Sans MS" w:hAnsi="Comic Sans MS" w:cs="Calibri"/>
          <w:b/>
          <w:bCs/>
          <w:color w:val="000000"/>
          <w:sz w:val="24"/>
          <w:szCs w:val="24"/>
        </w:rPr>
      </w:pPr>
    </w:p>
    <w:p w14:paraId="1E78E676" w14:textId="77777777" w:rsidR="00414C7B" w:rsidRPr="009F25CF" w:rsidRDefault="00414C7B" w:rsidP="00E11C5D">
      <w:pPr>
        <w:pStyle w:val="Sansinterligne"/>
        <w:jc w:val="center"/>
        <w:rPr>
          <w:rFonts w:ascii="Comic Sans MS" w:hAnsi="Comic Sans MS" w:cs="Calibri"/>
          <w:b/>
          <w:bCs/>
          <w:color w:val="000000"/>
          <w:sz w:val="24"/>
          <w:szCs w:val="24"/>
        </w:rPr>
      </w:pPr>
    </w:p>
    <w:p w14:paraId="58896107" w14:textId="77777777" w:rsidR="0011735F" w:rsidRPr="009F25CF" w:rsidRDefault="0011735F" w:rsidP="005F16EF">
      <w:pPr>
        <w:pStyle w:val="Sansinterligne"/>
        <w:jc w:val="center"/>
        <w:rPr>
          <w:rFonts w:ascii="Comic Sans MS" w:hAnsi="Comic Sans MS" w:cs="Calibri"/>
          <w:b/>
          <w:bCs/>
          <w:color w:val="000000"/>
          <w:sz w:val="24"/>
          <w:szCs w:val="24"/>
        </w:rPr>
      </w:pPr>
    </w:p>
    <w:p w14:paraId="52A30BC9" w14:textId="0885D984" w:rsidR="0011735F" w:rsidRPr="009F25CF" w:rsidRDefault="00414C7B" w:rsidP="005F16EF">
      <w:pPr>
        <w:pStyle w:val="Sansinterligne"/>
        <w:jc w:val="center"/>
        <w:rPr>
          <w:rFonts w:ascii="Comic Sans MS" w:hAnsi="Comic Sans MS" w:cs="Calibri"/>
          <w:b/>
          <w:bCs/>
          <w:color w:val="000000"/>
          <w:sz w:val="24"/>
          <w:szCs w:val="24"/>
        </w:rPr>
      </w:pPr>
      <w:r w:rsidRPr="009F25CF">
        <w:rPr>
          <w:rFonts w:ascii="Comic Sans MS" w:hAnsi="Comic Sans MS" w:cs="Calibri"/>
          <w:b/>
          <w:bCs/>
          <w:color w:val="000000"/>
          <w:sz w:val="24"/>
          <w:szCs w:val="24"/>
        </w:rPr>
        <w:t xml:space="preserve">RAPPORT </w:t>
      </w:r>
      <w:r w:rsidR="00E62A1D" w:rsidRPr="009F25CF">
        <w:rPr>
          <w:rFonts w:ascii="Comic Sans MS" w:hAnsi="Comic Sans MS" w:cs="Calibri"/>
          <w:b/>
          <w:bCs/>
          <w:color w:val="000000"/>
          <w:sz w:val="24"/>
          <w:szCs w:val="24"/>
        </w:rPr>
        <w:t xml:space="preserve">PROVISOIRE </w:t>
      </w:r>
      <w:r w:rsidRPr="009F25CF">
        <w:rPr>
          <w:rFonts w:ascii="Comic Sans MS" w:hAnsi="Comic Sans MS" w:cs="Calibri"/>
          <w:b/>
          <w:bCs/>
          <w:color w:val="000000"/>
          <w:sz w:val="24"/>
          <w:szCs w:val="24"/>
        </w:rPr>
        <w:t xml:space="preserve">DES MESURES D’ATTENUATION DU SOUS-SECTEUR </w:t>
      </w:r>
      <w:r w:rsidR="009F25CF" w:rsidRPr="009F25CF">
        <w:rPr>
          <w:rFonts w:ascii="Comic Sans MS" w:hAnsi="Comic Sans MS" w:cs="Calibri"/>
          <w:b/>
          <w:bCs/>
          <w:color w:val="000000"/>
          <w:sz w:val="24"/>
          <w:szCs w:val="24"/>
        </w:rPr>
        <w:t xml:space="preserve">ENERGIES RESIDENTIELLES </w:t>
      </w:r>
      <w:r w:rsidR="00E62A1D" w:rsidRPr="009F25CF">
        <w:rPr>
          <w:rFonts w:ascii="Comic Sans MS" w:hAnsi="Comic Sans MS" w:cs="Calibri"/>
          <w:b/>
          <w:bCs/>
          <w:color w:val="000000"/>
          <w:sz w:val="24"/>
          <w:szCs w:val="24"/>
        </w:rPr>
        <w:t>EN MAURITANIE</w:t>
      </w:r>
    </w:p>
    <w:p w14:paraId="5407F935" w14:textId="77777777" w:rsidR="00D41958" w:rsidRPr="009F25CF" w:rsidRDefault="00D41958" w:rsidP="005F16EF">
      <w:pPr>
        <w:pStyle w:val="Sansinterligne"/>
        <w:jc w:val="center"/>
        <w:rPr>
          <w:rFonts w:ascii="Comic Sans MS" w:hAnsi="Comic Sans MS" w:cs="Calibri"/>
          <w:b/>
          <w:bCs/>
          <w:caps/>
          <w:color w:val="000000"/>
          <w:sz w:val="24"/>
          <w:szCs w:val="24"/>
        </w:rPr>
      </w:pPr>
    </w:p>
    <w:p w14:paraId="50F04244" w14:textId="77777777" w:rsidR="0011735F" w:rsidRPr="009F25CF" w:rsidRDefault="0011735F" w:rsidP="00E11C5D">
      <w:pPr>
        <w:pStyle w:val="Sansinterligne"/>
        <w:rPr>
          <w:rFonts w:ascii="Comic Sans MS" w:hAnsi="Comic Sans MS" w:cs="Calibri"/>
          <w:b/>
          <w:bCs/>
          <w:color w:val="7030A0"/>
          <w:sz w:val="24"/>
          <w:szCs w:val="24"/>
        </w:rPr>
      </w:pPr>
    </w:p>
    <w:p w14:paraId="2C2B06A4" w14:textId="77777777" w:rsidR="0011735F" w:rsidRPr="009F25CF" w:rsidRDefault="0011735F" w:rsidP="00E11C5D">
      <w:pPr>
        <w:pStyle w:val="Sansinterligne"/>
        <w:rPr>
          <w:rFonts w:ascii="Comic Sans MS" w:hAnsi="Comic Sans MS" w:cs="Calibri"/>
          <w:b/>
          <w:bCs/>
          <w:color w:val="7030A0"/>
          <w:sz w:val="24"/>
          <w:szCs w:val="24"/>
        </w:rPr>
      </w:pPr>
    </w:p>
    <w:p w14:paraId="6D7AAFFD" w14:textId="0F457A75" w:rsidR="0011735F" w:rsidRPr="009F25CF" w:rsidRDefault="006F4360" w:rsidP="005A0629">
      <w:pPr>
        <w:pStyle w:val="Sansinterligne"/>
        <w:jc w:val="center"/>
        <w:rPr>
          <w:rFonts w:ascii="Comic Sans MS" w:hAnsi="Comic Sans MS" w:cs="Calibri"/>
          <w:b/>
          <w:bCs/>
          <w:color w:val="7030A0"/>
          <w:sz w:val="24"/>
          <w:szCs w:val="24"/>
        </w:rPr>
      </w:pPr>
      <w:r w:rsidRPr="009F25CF">
        <w:rPr>
          <w:rFonts w:ascii="Comic Sans MS" w:hAnsi="Comic Sans MS" w:cs="Calibri"/>
          <w:b/>
          <w:bCs/>
          <w:color w:val="000000"/>
          <w:sz w:val="24"/>
          <w:szCs w:val="24"/>
        </w:rPr>
        <w:tab/>
      </w:r>
    </w:p>
    <w:p w14:paraId="16BE7F83" w14:textId="77777777" w:rsidR="0011735F" w:rsidRPr="009F25CF" w:rsidRDefault="0011735F" w:rsidP="00E11C5D">
      <w:pPr>
        <w:pStyle w:val="Sansinterligne"/>
        <w:rPr>
          <w:rFonts w:ascii="Comic Sans MS" w:hAnsi="Comic Sans MS" w:cs="Calibri"/>
          <w:b/>
          <w:bCs/>
          <w:color w:val="7030A0"/>
          <w:sz w:val="24"/>
          <w:szCs w:val="24"/>
        </w:rPr>
      </w:pPr>
    </w:p>
    <w:p w14:paraId="252E8F25" w14:textId="77777777" w:rsidR="0011735F" w:rsidRPr="009F25CF" w:rsidRDefault="0011735F" w:rsidP="00E11C5D">
      <w:pPr>
        <w:pStyle w:val="Sansinterligne"/>
        <w:rPr>
          <w:rFonts w:ascii="Comic Sans MS" w:hAnsi="Comic Sans MS" w:cs="Calibri"/>
          <w:b/>
          <w:bCs/>
          <w:color w:val="7030A0"/>
          <w:sz w:val="24"/>
          <w:szCs w:val="24"/>
        </w:rPr>
      </w:pPr>
    </w:p>
    <w:p w14:paraId="06364E05" w14:textId="77777777" w:rsidR="0011735F" w:rsidRPr="009F25CF" w:rsidRDefault="006F4360" w:rsidP="00E11C5D">
      <w:pPr>
        <w:pStyle w:val="Sansinterligne"/>
        <w:tabs>
          <w:tab w:val="left" w:pos="6361"/>
        </w:tabs>
        <w:rPr>
          <w:rFonts w:ascii="Comic Sans MS" w:hAnsi="Comic Sans MS" w:cs="Calibri"/>
          <w:b/>
          <w:bCs/>
          <w:color w:val="7030A0"/>
          <w:sz w:val="24"/>
          <w:szCs w:val="24"/>
        </w:rPr>
      </w:pPr>
      <w:r w:rsidRPr="009F25CF">
        <w:rPr>
          <w:rFonts w:ascii="Comic Sans MS" w:hAnsi="Comic Sans MS" w:cs="Calibri"/>
          <w:b/>
          <w:bCs/>
          <w:color w:val="7030A0"/>
          <w:sz w:val="24"/>
          <w:szCs w:val="24"/>
        </w:rPr>
        <w:tab/>
      </w:r>
    </w:p>
    <w:p w14:paraId="6C5BC58B" w14:textId="77777777" w:rsidR="0011735F" w:rsidRPr="009F25CF" w:rsidRDefault="0011735F" w:rsidP="00E11C5D">
      <w:pPr>
        <w:pStyle w:val="Sansinterligne"/>
        <w:rPr>
          <w:rFonts w:ascii="Comic Sans MS" w:hAnsi="Comic Sans MS" w:cs="Calibri"/>
          <w:b/>
          <w:bCs/>
          <w:color w:val="7030A0"/>
          <w:sz w:val="24"/>
          <w:szCs w:val="24"/>
        </w:rPr>
      </w:pPr>
      <w:r w:rsidRPr="009F25CF">
        <w:rPr>
          <w:rFonts w:ascii="Comic Sans MS" w:hAnsi="Comic Sans MS" w:cs="Calibri"/>
          <w:b/>
          <w:bCs/>
          <w:color w:val="7030A0"/>
          <w:sz w:val="24"/>
          <w:szCs w:val="24"/>
        </w:rPr>
        <w:t xml:space="preserve">                    </w:t>
      </w:r>
    </w:p>
    <w:p w14:paraId="17B65A63" w14:textId="58BA1927" w:rsidR="00195F07" w:rsidRPr="009F25CF" w:rsidRDefault="00852F5F" w:rsidP="00060FF8">
      <w:pPr>
        <w:pStyle w:val="Sansinterligne"/>
        <w:jc w:val="center"/>
        <w:rPr>
          <w:rFonts w:ascii="Comic Sans MS" w:hAnsi="Comic Sans MS" w:cs="Calibri"/>
          <w:b/>
          <w:bCs/>
          <w:color w:val="000000"/>
          <w:sz w:val="24"/>
          <w:szCs w:val="24"/>
        </w:rPr>
      </w:pPr>
      <w:r w:rsidRPr="009F25CF">
        <w:rPr>
          <w:rFonts w:ascii="Comic Sans MS" w:hAnsi="Comic Sans MS" w:cs="Calibri"/>
          <w:b/>
          <w:bCs/>
          <w:color w:val="000000"/>
          <w:sz w:val="24"/>
          <w:szCs w:val="24"/>
        </w:rPr>
        <w:t>Mai</w:t>
      </w:r>
      <w:r w:rsidR="0011735F" w:rsidRPr="009F25CF">
        <w:rPr>
          <w:rFonts w:ascii="Comic Sans MS" w:hAnsi="Comic Sans MS" w:cs="Calibri"/>
          <w:b/>
          <w:bCs/>
          <w:color w:val="000000"/>
          <w:sz w:val="24"/>
          <w:szCs w:val="24"/>
        </w:rPr>
        <w:t xml:space="preserve"> 20</w:t>
      </w:r>
      <w:r w:rsidR="002A2166" w:rsidRPr="009F25CF">
        <w:rPr>
          <w:rFonts w:ascii="Comic Sans MS" w:hAnsi="Comic Sans MS" w:cs="Calibri"/>
          <w:b/>
          <w:bCs/>
          <w:color w:val="000000"/>
          <w:sz w:val="24"/>
          <w:szCs w:val="24"/>
        </w:rPr>
        <w:t>24</w:t>
      </w:r>
      <w:r w:rsidR="0011735F" w:rsidRPr="009F25CF">
        <w:rPr>
          <w:rFonts w:ascii="Comic Sans MS" w:hAnsi="Comic Sans MS" w:cs="Calibri"/>
          <w:b/>
          <w:bCs/>
          <w:color w:val="000000"/>
          <w:sz w:val="24"/>
          <w:szCs w:val="24"/>
        </w:rPr>
        <w:t xml:space="preserve">        </w:t>
      </w:r>
    </w:p>
    <w:p w14:paraId="49B6493A" w14:textId="77777777" w:rsidR="00195F07" w:rsidRPr="009F25CF" w:rsidRDefault="00195F07" w:rsidP="00E11C5D">
      <w:pPr>
        <w:pStyle w:val="Sansinterligne"/>
        <w:jc w:val="center"/>
        <w:rPr>
          <w:rFonts w:ascii="Comic Sans MS" w:hAnsi="Comic Sans MS" w:cs="Calibri"/>
          <w:b/>
          <w:bCs/>
          <w:color w:val="000000"/>
          <w:sz w:val="24"/>
          <w:szCs w:val="24"/>
        </w:rPr>
      </w:pPr>
    </w:p>
    <w:p w14:paraId="10B6C17B" w14:textId="77777777" w:rsidR="00195F07" w:rsidRPr="009F25CF" w:rsidRDefault="00195F07" w:rsidP="00E11C5D">
      <w:pPr>
        <w:rPr>
          <w:rFonts w:ascii="Comic Sans MS" w:hAnsi="Comic Sans MS" w:cs="Calibri"/>
          <w:sz w:val="24"/>
          <w:szCs w:val="24"/>
        </w:rPr>
        <w:sectPr w:rsidR="00195F07" w:rsidRPr="009F25CF" w:rsidSect="005F16E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0"/>
          <w:cols w:space="708"/>
          <w:titlePg/>
          <w:docGrid w:linePitch="360"/>
        </w:sectPr>
      </w:pPr>
    </w:p>
    <w:sdt>
      <w:sdtPr>
        <w:rPr>
          <w:rFonts w:ascii="Comic Sans MS" w:eastAsia="Calibri" w:hAnsi="Comic Sans MS" w:cs="Calibri"/>
          <w:color w:val="auto"/>
          <w:sz w:val="22"/>
          <w:szCs w:val="22"/>
          <w:lang w:eastAsia="en-US"/>
        </w:rPr>
        <w:id w:val="843138634"/>
        <w:docPartObj>
          <w:docPartGallery w:val="Table of Contents"/>
          <w:docPartUnique/>
        </w:docPartObj>
      </w:sdtPr>
      <w:sdtEndPr>
        <w:rPr>
          <w:b/>
          <w:bCs/>
        </w:rPr>
      </w:sdtEndPr>
      <w:sdtContent>
        <w:p w14:paraId="273C239B" w14:textId="2BF96193" w:rsidR="00712EFE" w:rsidRPr="009F25CF" w:rsidRDefault="00712EFE">
          <w:pPr>
            <w:pStyle w:val="En-ttedetabledesmatires"/>
            <w:rPr>
              <w:rFonts w:ascii="Comic Sans MS" w:hAnsi="Comic Sans MS" w:cs="Calibri"/>
            </w:rPr>
          </w:pPr>
          <w:r w:rsidRPr="009F25CF">
            <w:rPr>
              <w:rFonts w:ascii="Comic Sans MS" w:hAnsi="Comic Sans MS" w:cs="Calibri"/>
            </w:rPr>
            <w:t>Table des matières</w:t>
          </w:r>
        </w:p>
        <w:p w14:paraId="0BC87741" w14:textId="0BFD0334" w:rsidR="005F16EF" w:rsidRDefault="00712EFE" w:rsidP="005F16EF">
          <w:pPr>
            <w:pStyle w:val="TM2"/>
            <w:rPr>
              <w:rFonts w:asciiTheme="minorHAnsi" w:eastAsiaTheme="minorEastAsia" w:hAnsiTheme="minorHAnsi" w:cstheme="minorBidi"/>
              <w:noProof/>
              <w:kern w:val="2"/>
              <w:sz w:val="24"/>
              <w:szCs w:val="24"/>
              <w:lang w:eastAsia="fr-FR"/>
              <w14:ligatures w14:val="standardContextual"/>
            </w:rPr>
          </w:pPr>
          <w:r w:rsidRPr="009F25CF">
            <w:rPr>
              <w:rFonts w:ascii="Comic Sans MS" w:hAnsi="Comic Sans MS" w:cs="Calibri"/>
            </w:rPr>
            <w:fldChar w:fldCharType="begin"/>
          </w:r>
          <w:r w:rsidRPr="009F25CF">
            <w:rPr>
              <w:rFonts w:ascii="Comic Sans MS" w:hAnsi="Comic Sans MS" w:cs="Calibri"/>
            </w:rPr>
            <w:instrText xml:space="preserve"> TOC \o "1-3" \h \z \u </w:instrText>
          </w:r>
          <w:r w:rsidRPr="009F25CF">
            <w:rPr>
              <w:rFonts w:ascii="Comic Sans MS" w:hAnsi="Comic Sans MS" w:cs="Calibri"/>
            </w:rPr>
            <w:fldChar w:fldCharType="separate"/>
          </w:r>
        </w:p>
        <w:p w14:paraId="2493B9BA" w14:textId="007F5CE2" w:rsidR="005F16EF" w:rsidRPr="005F16EF" w:rsidRDefault="005F16EF" w:rsidP="005F16EF">
          <w:pPr>
            <w:pStyle w:val="TM1"/>
            <w:rPr>
              <w:rFonts w:eastAsiaTheme="minorEastAsia" w:cstheme="minorBidi"/>
              <w:kern w:val="2"/>
              <w:lang w:val="fr-FR"/>
              <w14:ligatures w14:val="standardContextual"/>
            </w:rPr>
          </w:pPr>
          <w:hyperlink w:anchor="_Toc166937614" w:history="1">
            <w:r w:rsidRPr="005F16EF">
              <w:rPr>
                <w:rStyle w:val="Lienhypertexte"/>
                <w:rFonts w:ascii="Comic Sans MS" w:hAnsi="Comic Sans MS" w:cs="Calibri"/>
                <w:sz w:val="22"/>
                <w:szCs w:val="22"/>
                <w:lang w:val="fr-FR"/>
              </w:rPr>
              <w:t>I.</w:t>
            </w:r>
            <w:r w:rsidRPr="005F16EF">
              <w:rPr>
                <w:rFonts w:eastAsiaTheme="minorEastAsia" w:cstheme="minorBidi"/>
                <w:kern w:val="2"/>
                <w:lang w:val="fr-FR"/>
                <w14:ligatures w14:val="standardContextual"/>
              </w:rPr>
              <w:tab/>
            </w:r>
            <w:r w:rsidRPr="005F16EF">
              <w:rPr>
                <w:rStyle w:val="Lienhypertexte"/>
                <w:rFonts w:ascii="Comic Sans MS" w:hAnsi="Comic Sans MS" w:cs="Calibri"/>
                <w:sz w:val="22"/>
                <w:szCs w:val="22"/>
                <w:lang w:val="fr-FR"/>
              </w:rPr>
              <w:t>INTRODUCTION</w:t>
            </w:r>
            <w:r w:rsidR="008E12AF">
              <w:rPr>
                <w:rStyle w:val="Lienhypertexte"/>
                <w:rFonts w:ascii="Comic Sans MS" w:hAnsi="Comic Sans MS" w:cs="Calibri"/>
                <w:sz w:val="22"/>
                <w:szCs w:val="22"/>
                <w:lang w:val="fr-FR"/>
              </w:rPr>
              <w:t>……………………………………………………………………………………………………………………………….</w:t>
            </w:r>
            <w:r w:rsidRPr="005F16EF">
              <w:rPr>
                <w:webHidden/>
              </w:rPr>
              <w:tab/>
            </w:r>
            <w:r w:rsidRPr="005F16EF">
              <w:rPr>
                <w:webHidden/>
              </w:rPr>
              <w:fldChar w:fldCharType="begin"/>
            </w:r>
            <w:r w:rsidRPr="005F16EF">
              <w:rPr>
                <w:webHidden/>
              </w:rPr>
              <w:instrText xml:space="preserve"> PAGEREF _Toc166937614 \h </w:instrText>
            </w:r>
            <w:r w:rsidRPr="005F16EF">
              <w:rPr>
                <w:webHidden/>
              </w:rPr>
            </w:r>
            <w:r w:rsidRPr="005F16EF">
              <w:rPr>
                <w:webHidden/>
              </w:rPr>
              <w:fldChar w:fldCharType="separate"/>
            </w:r>
            <w:r w:rsidRPr="005F16EF">
              <w:rPr>
                <w:webHidden/>
              </w:rPr>
              <w:t>1</w:t>
            </w:r>
            <w:r w:rsidRPr="005F16EF">
              <w:rPr>
                <w:webHidden/>
              </w:rPr>
              <w:fldChar w:fldCharType="end"/>
            </w:r>
          </w:hyperlink>
        </w:p>
        <w:p w14:paraId="5248E87D" w14:textId="066FD332" w:rsidR="005F16EF" w:rsidRPr="005F16EF" w:rsidRDefault="005F16EF" w:rsidP="005F16EF">
          <w:pPr>
            <w:pStyle w:val="TM1"/>
            <w:rPr>
              <w:rFonts w:eastAsiaTheme="minorEastAsia" w:cstheme="minorBidi"/>
              <w:kern w:val="2"/>
              <w:lang w:val="fr-FR"/>
              <w14:ligatures w14:val="standardContextual"/>
            </w:rPr>
          </w:pPr>
          <w:hyperlink w:anchor="_Toc166937615" w:history="1">
            <w:r w:rsidRPr="005F16EF">
              <w:rPr>
                <w:rStyle w:val="Lienhypertexte"/>
                <w:rFonts w:ascii="Comic Sans MS" w:hAnsi="Comic Sans MS"/>
                <w:sz w:val="22"/>
                <w:szCs w:val="22"/>
                <w:lang w:val="fr-FR"/>
              </w:rPr>
              <w:t>II.</w:t>
            </w:r>
            <w:r w:rsidRPr="005F16EF">
              <w:rPr>
                <w:rFonts w:eastAsiaTheme="minorEastAsia" w:cstheme="minorBidi"/>
                <w:kern w:val="2"/>
                <w:lang w:val="fr-FR"/>
                <w14:ligatures w14:val="standardContextual"/>
              </w:rPr>
              <w:tab/>
            </w:r>
            <w:r w:rsidRPr="005F16EF">
              <w:rPr>
                <w:rStyle w:val="Lienhypertexte"/>
                <w:rFonts w:ascii="Comic Sans MS" w:hAnsi="Comic Sans MS"/>
                <w:sz w:val="22"/>
                <w:szCs w:val="22"/>
                <w:lang w:val="fr-FR"/>
              </w:rPr>
              <w:t>MESURES D’ATTÉNUATION DU SOUS-SECTEUR ENERGIES RESIDENTIELLES</w:t>
            </w:r>
            <w:r w:rsidR="008E12AF">
              <w:rPr>
                <w:webHidden/>
              </w:rPr>
              <w:t>………….</w:t>
            </w:r>
            <w:r w:rsidRPr="005F16EF">
              <w:rPr>
                <w:webHidden/>
              </w:rPr>
              <w:fldChar w:fldCharType="begin"/>
            </w:r>
            <w:r w:rsidRPr="005F16EF">
              <w:rPr>
                <w:webHidden/>
              </w:rPr>
              <w:instrText xml:space="preserve"> PAGEREF _Toc166937615 \h </w:instrText>
            </w:r>
            <w:r w:rsidRPr="005F16EF">
              <w:rPr>
                <w:webHidden/>
              </w:rPr>
            </w:r>
            <w:r w:rsidRPr="005F16EF">
              <w:rPr>
                <w:webHidden/>
              </w:rPr>
              <w:fldChar w:fldCharType="separate"/>
            </w:r>
            <w:r w:rsidRPr="005F16EF">
              <w:rPr>
                <w:webHidden/>
              </w:rPr>
              <w:t>3</w:t>
            </w:r>
            <w:r w:rsidRPr="005F16EF">
              <w:rPr>
                <w:webHidden/>
              </w:rPr>
              <w:fldChar w:fldCharType="end"/>
            </w:r>
          </w:hyperlink>
        </w:p>
        <w:p w14:paraId="520BEE08" w14:textId="279B679D" w:rsidR="005F16EF" w:rsidRPr="005F16EF" w:rsidRDefault="005F16EF" w:rsidP="005F16EF">
          <w:pPr>
            <w:pStyle w:val="TM1"/>
            <w:rPr>
              <w:rFonts w:eastAsiaTheme="minorEastAsia" w:cstheme="minorBidi"/>
              <w:kern w:val="2"/>
              <w14:ligatures w14:val="standardContextual"/>
            </w:rPr>
          </w:pPr>
          <w:hyperlink w:anchor="_Toc166937616" w:history="1">
            <w:r w:rsidRPr="005F16EF">
              <w:rPr>
                <w:rStyle w:val="Lienhypertexte"/>
                <w:rFonts w:ascii="Comic Sans MS" w:hAnsi="Comic Sans MS"/>
                <w:sz w:val="22"/>
                <w:szCs w:val="22"/>
                <w:lang w:val="fr-FR"/>
              </w:rPr>
              <w:t>II.1</w:t>
            </w:r>
            <w:r w:rsidRPr="005F16EF">
              <w:rPr>
                <w:rFonts w:eastAsiaTheme="minorEastAsia" w:cstheme="minorBidi"/>
                <w:kern w:val="2"/>
                <w14:ligatures w14:val="standardContextual"/>
              </w:rPr>
              <w:tab/>
            </w:r>
            <w:r w:rsidRPr="005F16EF">
              <w:rPr>
                <w:rStyle w:val="Lienhypertexte"/>
                <w:rFonts w:ascii="Comic Sans MS" w:hAnsi="Comic Sans MS"/>
                <w:sz w:val="22"/>
                <w:szCs w:val="22"/>
                <w:lang w:val="fr-FR"/>
              </w:rPr>
              <w:t>Mesures d'atténuations de la 4</w:t>
            </w:r>
            <w:r w:rsidRPr="005F16EF">
              <w:rPr>
                <w:rStyle w:val="Lienhypertexte"/>
                <w:rFonts w:ascii="Comic Sans MS" w:hAnsi="Comic Sans MS"/>
                <w:sz w:val="22"/>
                <w:szCs w:val="22"/>
                <w:vertAlign w:val="superscript"/>
                <w:lang w:val="fr-FR"/>
              </w:rPr>
              <w:t>ième</w:t>
            </w:r>
            <w:r w:rsidRPr="005F16EF">
              <w:rPr>
                <w:rStyle w:val="Lienhypertexte"/>
                <w:rFonts w:ascii="Comic Sans MS" w:hAnsi="Comic Sans MS"/>
                <w:sz w:val="22"/>
                <w:szCs w:val="22"/>
                <w:lang w:val="fr-FR"/>
              </w:rPr>
              <w:t xml:space="preserve"> communication nationale et de la 2</w:t>
            </w:r>
            <w:r w:rsidRPr="005F16EF">
              <w:rPr>
                <w:rStyle w:val="Lienhypertexte"/>
                <w:rFonts w:ascii="Comic Sans MS" w:hAnsi="Comic Sans MS"/>
                <w:sz w:val="22"/>
                <w:szCs w:val="22"/>
                <w:vertAlign w:val="superscript"/>
                <w:lang w:val="fr-FR"/>
              </w:rPr>
              <w:t>ième</w:t>
            </w:r>
            <w:r w:rsidRPr="005F16EF">
              <w:rPr>
                <w:rStyle w:val="Lienhypertexte"/>
                <w:rFonts w:ascii="Comic Sans MS" w:hAnsi="Comic Sans MS"/>
                <w:sz w:val="22"/>
                <w:szCs w:val="22"/>
                <w:lang w:val="fr-FR"/>
              </w:rPr>
              <w:t xml:space="preserve"> CDN</w:t>
            </w:r>
            <w:r w:rsidR="008E12AF">
              <w:rPr>
                <w:webHidden/>
              </w:rPr>
              <w:t>……………….…..</w:t>
            </w:r>
            <w:r w:rsidRPr="005F16EF">
              <w:rPr>
                <w:webHidden/>
              </w:rPr>
              <w:fldChar w:fldCharType="begin"/>
            </w:r>
            <w:r w:rsidRPr="005F16EF">
              <w:rPr>
                <w:webHidden/>
              </w:rPr>
              <w:instrText xml:space="preserve"> PAGEREF _Toc166937616 \h </w:instrText>
            </w:r>
            <w:r w:rsidRPr="005F16EF">
              <w:rPr>
                <w:webHidden/>
              </w:rPr>
            </w:r>
            <w:r w:rsidRPr="005F16EF">
              <w:rPr>
                <w:webHidden/>
              </w:rPr>
              <w:fldChar w:fldCharType="separate"/>
            </w:r>
            <w:r w:rsidRPr="005F16EF">
              <w:rPr>
                <w:webHidden/>
              </w:rPr>
              <w:t>3</w:t>
            </w:r>
            <w:r w:rsidRPr="005F16EF">
              <w:rPr>
                <w:webHidden/>
              </w:rPr>
              <w:fldChar w:fldCharType="end"/>
            </w:r>
          </w:hyperlink>
        </w:p>
        <w:p w14:paraId="2EB794F4" w14:textId="73B2A61C" w:rsidR="005F16EF" w:rsidRPr="005F16EF" w:rsidRDefault="005F16EF" w:rsidP="005F16EF">
          <w:pPr>
            <w:pStyle w:val="TM1"/>
            <w:rPr>
              <w:rFonts w:eastAsiaTheme="minorEastAsia" w:cstheme="minorBidi"/>
              <w:kern w:val="2"/>
              <w:lang w:val="fr-FR"/>
              <w14:ligatures w14:val="standardContextual"/>
            </w:rPr>
          </w:pPr>
          <w:hyperlink w:anchor="_Toc166937617" w:history="1">
            <w:r w:rsidRPr="005F16EF">
              <w:rPr>
                <w:rStyle w:val="Lienhypertexte"/>
                <w:rFonts w:ascii="Comic Sans MS" w:hAnsi="Comic Sans MS"/>
                <w:sz w:val="22"/>
                <w:szCs w:val="22"/>
                <w:lang w:val="fr-FR"/>
              </w:rPr>
              <w:t>II.2</w:t>
            </w:r>
            <w:r w:rsidRPr="005F16EF">
              <w:rPr>
                <w:rFonts w:eastAsiaTheme="minorEastAsia" w:cstheme="minorBidi"/>
                <w:kern w:val="2"/>
                <w:lang w:val="fr-FR"/>
                <w14:ligatures w14:val="standardContextual"/>
              </w:rPr>
              <w:tab/>
            </w:r>
            <w:r w:rsidRPr="005F16EF">
              <w:rPr>
                <w:rStyle w:val="Lienhypertexte"/>
                <w:rFonts w:ascii="Comic Sans MS" w:hAnsi="Comic Sans MS"/>
                <w:sz w:val="22"/>
                <w:szCs w:val="22"/>
                <w:lang w:val="fr-FR"/>
              </w:rPr>
              <w:t>Mesures d’atténuation de la période 2010-2020</w:t>
            </w:r>
            <w:r w:rsidR="008E12AF">
              <w:rPr>
                <w:webHidden/>
              </w:rPr>
              <w:t>………………………………………………………………….…</w:t>
            </w:r>
            <w:r w:rsidRPr="005F16EF">
              <w:rPr>
                <w:webHidden/>
              </w:rPr>
              <w:fldChar w:fldCharType="begin"/>
            </w:r>
            <w:r w:rsidRPr="005F16EF">
              <w:rPr>
                <w:webHidden/>
              </w:rPr>
              <w:instrText xml:space="preserve"> PAGEREF _Toc166937617 \h </w:instrText>
            </w:r>
            <w:r w:rsidRPr="005F16EF">
              <w:rPr>
                <w:webHidden/>
              </w:rPr>
            </w:r>
            <w:r w:rsidRPr="005F16EF">
              <w:rPr>
                <w:webHidden/>
              </w:rPr>
              <w:fldChar w:fldCharType="separate"/>
            </w:r>
            <w:r w:rsidRPr="005F16EF">
              <w:rPr>
                <w:webHidden/>
              </w:rPr>
              <w:t>4</w:t>
            </w:r>
            <w:r w:rsidRPr="005F16EF">
              <w:rPr>
                <w:webHidden/>
              </w:rPr>
              <w:fldChar w:fldCharType="end"/>
            </w:r>
          </w:hyperlink>
        </w:p>
        <w:p w14:paraId="53DA2BA2" w14:textId="311AFEED" w:rsidR="005F16EF" w:rsidRPr="005F16EF" w:rsidRDefault="005F16EF" w:rsidP="005F16EF">
          <w:pPr>
            <w:pStyle w:val="TM1"/>
            <w:rPr>
              <w:rFonts w:eastAsiaTheme="minorEastAsia" w:cstheme="minorBidi"/>
              <w:kern w:val="2"/>
              <w14:ligatures w14:val="standardContextual"/>
            </w:rPr>
          </w:pPr>
          <w:hyperlink w:anchor="_Toc166937618" w:history="1">
            <w:r w:rsidRPr="005F16EF">
              <w:rPr>
                <w:rStyle w:val="Lienhypertexte"/>
                <w:rFonts w:ascii="Comic Sans MS" w:hAnsi="Comic Sans MS"/>
                <w:sz w:val="22"/>
                <w:szCs w:val="22"/>
                <w:lang w:val="fr-FR"/>
              </w:rPr>
              <w:t>II.3</w:t>
            </w:r>
            <w:r w:rsidRPr="005F16EF">
              <w:rPr>
                <w:rFonts w:eastAsiaTheme="minorEastAsia" w:cstheme="minorBidi"/>
                <w:kern w:val="2"/>
                <w14:ligatures w14:val="standardContextual"/>
              </w:rPr>
              <w:tab/>
            </w:r>
            <w:r w:rsidRPr="005F16EF">
              <w:rPr>
                <w:rStyle w:val="Lienhypertexte"/>
                <w:rFonts w:ascii="Comic Sans MS" w:hAnsi="Comic Sans MS"/>
                <w:sz w:val="22"/>
                <w:szCs w:val="22"/>
                <w:lang w:val="fr-FR"/>
              </w:rPr>
              <w:t>Etat de réalisation des mesures d’atténuation du sous-secteur énergies résidentielles</w:t>
            </w:r>
            <w:r w:rsidR="008E12AF">
              <w:rPr>
                <w:rStyle w:val="Lienhypertexte"/>
                <w:rFonts w:ascii="Comic Sans MS" w:hAnsi="Comic Sans MS"/>
                <w:sz w:val="22"/>
                <w:szCs w:val="22"/>
                <w:lang w:val="fr-FR"/>
              </w:rPr>
              <w:t>….…..</w:t>
            </w:r>
            <w:r w:rsidRPr="005F16EF">
              <w:rPr>
                <w:webHidden/>
              </w:rPr>
              <w:fldChar w:fldCharType="begin"/>
            </w:r>
            <w:r w:rsidRPr="005F16EF">
              <w:rPr>
                <w:webHidden/>
              </w:rPr>
              <w:instrText xml:space="preserve"> PAGEREF _Toc166937618 \h </w:instrText>
            </w:r>
            <w:r w:rsidRPr="005F16EF">
              <w:rPr>
                <w:webHidden/>
              </w:rPr>
            </w:r>
            <w:r w:rsidRPr="005F16EF">
              <w:rPr>
                <w:webHidden/>
              </w:rPr>
              <w:fldChar w:fldCharType="separate"/>
            </w:r>
            <w:r w:rsidRPr="005F16EF">
              <w:rPr>
                <w:webHidden/>
              </w:rPr>
              <w:t>6</w:t>
            </w:r>
            <w:r w:rsidRPr="005F16EF">
              <w:rPr>
                <w:webHidden/>
              </w:rPr>
              <w:fldChar w:fldCharType="end"/>
            </w:r>
          </w:hyperlink>
        </w:p>
        <w:p w14:paraId="73C8BB44" w14:textId="39BD744F" w:rsidR="005F16EF" w:rsidRPr="005F16EF" w:rsidRDefault="005F16EF" w:rsidP="005F16EF">
          <w:pPr>
            <w:pStyle w:val="TM1"/>
            <w:rPr>
              <w:rFonts w:eastAsiaTheme="minorEastAsia" w:cstheme="minorBidi"/>
              <w:kern w:val="2"/>
              <w14:ligatures w14:val="standardContextual"/>
            </w:rPr>
          </w:pPr>
          <w:hyperlink w:anchor="_Toc166937619" w:history="1">
            <w:r w:rsidRPr="005F16EF">
              <w:rPr>
                <w:rStyle w:val="Lienhypertexte"/>
                <w:rFonts w:ascii="Comic Sans MS" w:hAnsi="Comic Sans MS"/>
                <w:sz w:val="22"/>
                <w:szCs w:val="22"/>
                <w:lang w:val="fr-FR"/>
              </w:rPr>
              <w:t>III.</w:t>
            </w:r>
            <w:r w:rsidRPr="005F16EF">
              <w:rPr>
                <w:rFonts w:eastAsiaTheme="minorEastAsia" w:cstheme="minorBidi"/>
                <w:kern w:val="2"/>
                <w14:ligatures w14:val="standardContextual"/>
              </w:rPr>
              <w:tab/>
            </w:r>
            <w:r w:rsidRPr="005F16EF">
              <w:rPr>
                <w:rStyle w:val="Lienhypertexte"/>
                <w:rFonts w:ascii="Comic Sans MS" w:hAnsi="Comic Sans MS"/>
                <w:sz w:val="22"/>
                <w:szCs w:val="22"/>
                <w:lang w:val="fr-FR"/>
              </w:rPr>
              <w:t>MESURES A ATTENUER DU SOUS-SECTEUR ENERGIES RESIDENTIELLES</w:t>
            </w:r>
            <w:r w:rsidRPr="005F16EF">
              <w:rPr>
                <w:webHidden/>
              </w:rPr>
              <w:tab/>
            </w:r>
            <w:r>
              <w:rPr>
                <w:webHidden/>
              </w:rPr>
              <w:t>……</w:t>
            </w:r>
            <w:r w:rsidR="008E12AF">
              <w:rPr>
                <w:webHidden/>
              </w:rPr>
              <w:t>.</w:t>
            </w:r>
            <w:r>
              <w:rPr>
                <w:webHidden/>
              </w:rPr>
              <w:t>……….…</w:t>
            </w:r>
            <w:r w:rsidRPr="005F16EF">
              <w:rPr>
                <w:webHidden/>
              </w:rPr>
              <w:fldChar w:fldCharType="begin"/>
            </w:r>
            <w:r w:rsidRPr="005F16EF">
              <w:rPr>
                <w:webHidden/>
              </w:rPr>
              <w:instrText xml:space="preserve"> PAGEREF _Toc166937619 \h </w:instrText>
            </w:r>
            <w:r w:rsidRPr="005F16EF">
              <w:rPr>
                <w:webHidden/>
              </w:rPr>
            </w:r>
            <w:r w:rsidRPr="005F16EF">
              <w:rPr>
                <w:webHidden/>
              </w:rPr>
              <w:fldChar w:fldCharType="separate"/>
            </w:r>
            <w:r w:rsidRPr="005F16EF">
              <w:rPr>
                <w:webHidden/>
              </w:rPr>
              <w:t>8</w:t>
            </w:r>
            <w:r w:rsidRPr="005F16EF">
              <w:rPr>
                <w:webHidden/>
              </w:rPr>
              <w:fldChar w:fldCharType="end"/>
            </w:r>
          </w:hyperlink>
        </w:p>
        <w:p w14:paraId="76C5229A" w14:textId="03A9074B" w:rsidR="005F16EF" w:rsidRPr="005F16EF" w:rsidRDefault="005F16EF" w:rsidP="005F16EF">
          <w:pPr>
            <w:pStyle w:val="TM1"/>
            <w:rPr>
              <w:rFonts w:eastAsiaTheme="minorEastAsia" w:cstheme="minorBidi"/>
              <w:kern w:val="2"/>
              <w14:ligatures w14:val="standardContextual"/>
            </w:rPr>
          </w:pPr>
          <w:hyperlink w:anchor="_Toc166937620" w:history="1">
            <w:r w:rsidRPr="005F16EF">
              <w:rPr>
                <w:rStyle w:val="Lienhypertexte"/>
                <w:rFonts w:ascii="Comic Sans MS" w:hAnsi="Comic Sans MS"/>
                <w:sz w:val="22"/>
                <w:szCs w:val="22"/>
                <w:lang w:val="fr-FR"/>
              </w:rPr>
              <w:t>III.1</w:t>
            </w:r>
            <w:r w:rsidRPr="005F16EF">
              <w:rPr>
                <w:rFonts w:eastAsiaTheme="minorEastAsia" w:cstheme="minorBidi"/>
                <w:kern w:val="2"/>
                <w14:ligatures w14:val="standardContextual"/>
              </w:rPr>
              <w:tab/>
            </w:r>
            <w:r w:rsidRPr="005F16EF">
              <w:rPr>
                <w:rStyle w:val="Lienhypertexte"/>
                <w:rFonts w:ascii="Comic Sans MS" w:hAnsi="Comic Sans MS"/>
                <w:sz w:val="22"/>
                <w:szCs w:val="22"/>
                <w:lang w:val="fr-FR"/>
              </w:rPr>
              <w:t>Scénario de référence du sous-secteur énergies résidentielles à l’horizon 2030</w:t>
            </w:r>
            <w:r w:rsidRPr="005F16EF">
              <w:rPr>
                <w:webHidden/>
              </w:rPr>
              <w:tab/>
            </w:r>
            <w:r>
              <w:rPr>
                <w:webHidden/>
              </w:rPr>
              <w:t>………………..</w:t>
            </w:r>
            <w:r w:rsidRPr="005F16EF">
              <w:rPr>
                <w:webHidden/>
              </w:rPr>
              <w:fldChar w:fldCharType="begin"/>
            </w:r>
            <w:r w:rsidRPr="005F16EF">
              <w:rPr>
                <w:webHidden/>
              </w:rPr>
              <w:instrText xml:space="preserve"> PAGEREF _Toc166937620 \h </w:instrText>
            </w:r>
            <w:r w:rsidRPr="005F16EF">
              <w:rPr>
                <w:webHidden/>
              </w:rPr>
            </w:r>
            <w:r w:rsidRPr="005F16EF">
              <w:rPr>
                <w:webHidden/>
              </w:rPr>
              <w:fldChar w:fldCharType="separate"/>
            </w:r>
            <w:r w:rsidRPr="005F16EF">
              <w:rPr>
                <w:webHidden/>
              </w:rPr>
              <w:t>9</w:t>
            </w:r>
            <w:r w:rsidRPr="005F16EF">
              <w:rPr>
                <w:webHidden/>
              </w:rPr>
              <w:fldChar w:fldCharType="end"/>
            </w:r>
          </w:hyperlink>
        </w:p>
        <w:p w14:paraId="03CD5460" w14:textId="503DE271" w:rsidR="005F16EF" w:rsidRPr="005F16EF" w:rsidRDefault="005F16EF" w:rsidP="005F16EF">
          <w:pPr>
            <w:pStyle w:val="TM1"/>
            <w:rPr>
              <w:rFonts w:eastAsiaTheme="minorEastAsia" w:cstheme="minorBidi"/>
              <w:kern w:val="2"/>
              <w14:ligatures w14:val="standardContextual"/>
            </w:rPr>
          </w:pPr>
          <w:hyperlink w:anchor="_Toc166937621" w:history="1">
            <w:r w:rsidRPr="005F16EF">
              <w:rPr>
                <w:rStyle w:val="Lienhypertexte"/>
                <w:rFonts w:ascii="Comic Sans MS" w:hAnsi="Comic Sans MS"/>
                <w:sz w:val="22"/>
                <w:szCs w:val="22"/>
                <w:lang w:val="fr-FR"/>
              </w:rPr>
              <w:t>III.2</w:t>
            </w:r>
            <w:r w:rsidRPr="005F16EF">
              <w:rPr>
                <w:rFonts w:eastAsiaTheme="minorEastAsia" w:cstheme="minorBidi"/>
                <w:kern w:val="2"/>
                <w14:ligatures w14:val="standardContextual"/>
              </w:rPr>
              <w:tab/>
            </w:r>
            <w:r w:rsidR="008E12AF">
              <w:rPr>
                <w:rFonts w:eastAsiaTheme="minorEastAsia" w:cstheme="minorBidi"/>
                <w:kern w:val="2"/>
                <w14:ligatures w14:val="standardContextual"/>
              </w:rPr>
              <w:t>Scénario avec m</w:t>
            </w:r>
            <w:r w:rsidRPr="005F16EF">
              <w:rPr>
                <w:rStyle w:val="Lienhypertexte"/>
                <w:rFonts w:ascii="Comic Sans MS" w:hAnsi="Comic Sans MS"/>
                <w:sz w:val="22"/>
                <w:szCs w:val="22"/>
                <w:lang w:val="fr-FR"/>
              </w:rPr>
              <w:t>esures</w:t>
            </w:r>
            <w:r w:rsidR="008E12AF">
              <w:rPr>
                <w:rStyle w:val="Lienhypertexte"/>
                <w:rFonts w:ascii="Comic Sans MS" w:hAnsi="Comic Sans MS"/>
                <w:sz w:val="22"/>
                <w:szCs w:val="22"/>
                <w:lang w:val="fr-FR"/>
              </w:rPr>
              <w:t xml:space="preserve"> </w:t>
            </w:r>
            <w:r w:rsidRPr="005F16EF">
              <w:rPr>
                <w:rStyle w:val="Lienhypertexte"/>
                <w:rFonts w:ascii="Comic Sans MS" w:hAnsi="Comic Sans MS"/>
                <w:sz w:val="22"/>
                <w:szCs w:val="22"/>
                <w:lang w:val="fr-FR"/>
              </w:rPr>
              <w:t>du sous-secteur énergies résidentielle à l’horizon 2030</w:t>
            </w:r>
            <w:r w:rsidR="008E12AF">
              <w:rPr>
                <w:webHidden/>
              </w:rPr>
              <w:t>…………………</w:t>
            </w:r>
            <w:r w:rsidRPr="005F16EF">
              <w:rPr>
                <w:webHidden/>
              </w:rPr>
              <w:fldChar w:fldCharType="begin"/>
            </w:r>
            <w:r w:rsidRPr="005F16EF">
              <w:rPr>
                <w:webHidden/>
              </w:rPr>
              <w:instrText xml:space="preserve"> PAGEREF _Toc166937621 \h </w:instrText>
            </w:r>
            <w:r w:rsidRPr="005F16EF">
              <w:rPr>
                <w:webHidden/>
              </w:rPr>
            </w:r>
            <w:r w:rsidRPr="005F16EF">
              <w:rPr>
                <w:webHidden/>
              </w:rPr>
              <w:fldChar w:fldCharType="separate"/>
            </w:r>
            <w:r w:rsidRPr="005F16EF">
              <w:rPr>
                <w:webHidden/>
              </w:rPr>
              <w:t>10</w:t>
            </w:r>
            <w:r w:rsidRPr="005F16EF">
              <w:rPr>
                <w:webHidden/>
              </w:rPr>
              <w:fldChar w:fldCharType="end"/>
            </w:r>
          </w:hyperlink>
        </w:p>
        <w:p w14:paraId="772AA609" w14:textId="4B74027D" w:rsidR="005F16EF" w:rsidRPr="005F16EF" w:rsidRDefault="005F16EF" w:rsidP="005F16EF">
          <w:pPr>
            <w:pStyle w:val="TM1"/>
            <w:rPr>
              <w:rFonts w:eastAsiaTheme="minorEastAsia" w:cstheme="minorBidi"/>
              <w:kern w:val="2"/>
              <w14:ligatures w14:val="standardContextual"/>
            </w:rPr>
          </w:pPr>
          <w:hyperlink w:anchor="_Toc166937622" w:history="1">
            <w:r w:rsidRPr="005F16EF">
              <w:rPr>
                <w:rStyle w:val="Lienhypertexte"/>
                <w:rFonts w:ascii="Comic Sans MS" w:hAnsi="Comic Sans MS"/>
                <w:sz w:val="22"/>
                <w:szCs w:val="22"/>
                <w:lang w:val="fr-FR"/>
              </w:rPr>
              <w:t>III.3</w:t>
            </w:r>
            <w:r w:rsidRPr="005F16EF">
              <w:rPr>
                <w:rFonts w:eastAsiaTheme="minorEastAsia" w:cstheme="minorBidi"/>
                <w:kern w:val="2"/>
                <w14:ligatures w14:val="standardContextual"/>
              </w:rPr>
              <w:tab/>
            </w:r>
            <w:r w:rsidRPr="005F16EF">
              <w:rPr>
                <w:rStyle w:val="Lienhypertexte"/>
                <w:rFonts w:ascii="Comic Sans MS" w:hAnsi="Comic Sans MS"/>
                <w:sz w:val="22"/>
                <w:szCs w:val="22"/>
                <w:lang w:val="fr-FR"/>
              </w:rPr>
              <w:t>Résultats des mesures du sous-secteur énergies résidentielles</w:t>
            </w:r>
            <w:r w:rsidR="008E12AF">
              <w:rPr>
                <w:rStyle w:val="Lienhypertexte"/>
                <w:rFonts w:ascii="Comic Sans MS" w:hAnsi="Comic Sans MS"/>
                <w:sz w:val="22"/>
                <w:szCs w:val="22"/>
                <w:lang w:val="fr-FR"/>
              </w:rPr>
              <w:t>…………………………………………….</w:t>
            </w:r>
            <w:r w:rsidRPr="005F16EF">
              <w:rPr>
                <w:webHidden/>
              </w:rPr>
              <w:tab/>
            </w:r>
            <w:r w:rsidRPr="005F16EF">
              <w:rPr>
                <w:webHidden/>
              </w:rPr>
              <w:fldChar w:fldCharType="begin"/>
            </w:r>
            <w:r w:rsidRPr="005F16EF">
              <w:rPr>
                <w:webHidden/>
              </w:rPr>
              <w:instrText xml:space="preserve"> PAGEREF _Toc166937622 \h </w:instrText>
            </w:r>
            <w:r w:rsidRPr="005F16EF">
              <w:rPr>
                <w:webHidden/>
              </w:rPr>
            </w:r>
            <w:r w:rsidRPr="005F16EF">
              <w:rPr>
                <w:webHidden/>
              </w:rPr>
              <w:fldChar w:fldCharType="separate"/>
            </w:r>
            <w:r w:rsidRPr="005F16EF">
              <w:rPr>
                <w:webHidden/>
              </w:rPr>
              <w:t>10</w:t>
            </w:r>
            <w:r w:rsidRPr="005F16EF">
              <w:rPr>
                <w:webHidden/>
              </w:rPr>
              <w:fldChar w:fldCharType="end"/>
            </w:r>
          </w:hyperlink>
        </w:p>
        <w:p w14:paraId="492EBCB0" w14:textId="3A30AC31" w:rsidR="00712EFE" w:rsidRPr="009F25CF" w:rsidRDefault="00712EFE">
          <w:pPr>
            <w:rPr>
              <w:rFonts w:ascii="Comic Sans MS" w:hAnsi="Comic Sans MS" w:cs="Calibri"/>
            </w:rPr>
          </w:pPr>
          <w:r w:rsidRPr="009F25CF">
            <w:rPr>
              <w:rFonts w:ascii="Comic Sans MS" w:hAnsi="Comic Sans MS" w:cs="Calibri"/>
              <w:b/>
              <w:bCs/>
            </w:rPr>
            <w:fldChar w:fldCharType="end"/>
          </w:r>
        </w:p>
      </w:sdtContent>
    </w:sdt>
    <w:p w14:paraId="5C6DED55" w14:textId="77777777" w:rsidR="00A40145" w:rsidRPr="009F25CF" w:rsidRDefault="00A40145" w:rsidP="00A40145">
      <w:pPr>
        <w:rPr>
          <w:rFonts w:ascii="Comic Sans MS" w:hAnsi="Comic Sans MS" w:cs="Calibri"/>
          <w:lang w:eastAsia="ja-JP"/>
        </w:rPr>
      </w:pPr>
      <w:bookmarkStart w:id="18" w:name="_Toc336250606"/>
      <w:bookmarkStart w:id="19" w:name="_Toc365532006"/>
    </w:p>
    <w:p w14:paraId="0036BA5D" w14:textId="77777777" w:rsidR="00A40145" w:rsidRPr="009F25CF" w:rsidRDefault="00A40145" w:rsidP="00A40145">
      <w:pPr>
        <w:rPr>
          <w:rFonts w:ascii="Comic Sans MS" w:hAnsi="Comic Sans MS" w:cs="Calibri"/>
          <w:lang w:eastAsia="ja-JP"/>
        </w:rPr>
      </w:pPr>
    </w:p>
    <w:p w14:paraId="4E982527" w14:textId="77777777" w:rsidR="00A40145" w:rsidRPr="009F25CF" w:rsidRDefault="00A40145" w:rsidP="00A40145">
      <w:pPr>
        <w:rPr>
          <w:rFonts w:ascii="Comic Sans MS" w:hAnsi="Comic Sans MS" w:cs="Calibri"/>
          <w:lang w:eastAsia="ja-JP"/>
        </w:rPr>
      </w:pPr>
    </w:p>
    <w:p w14:paraId="3DD618D2" w14:textId="77777777" w:rsidR="00A40145" w:rsidRPr="009F25CF" w:rsidRDefault="00A40145" w:rsidP="00A40145">
      <w:pPr>
        <w:rPr>
          <w:rFonts w:ascii="Comic Sans MS" w:hAnsi="Comic Sans MS" w:cs="Calibri"/>
          <w:lang w:eastAsia="ja-JP"/>
        </w:rPr>
      </w:pPr>
    </w:p>
    <w:p w14:paraId="5982F55F" w14:textId="77777777" w:rsidR="00A40145" w:rsidRPr="009F25CF" w:rsidRDefault="00A40145" w:rsidP="00A40145">
      <w:pPr>
        <w:rPr>
          <w:rFonts w:ascii="Comic Sans MS" w:hAnsi="Comic Sans MS" w:cs="Calibri"/>
          <w:lang w:eastAsia="ja-JP"/>
        </w:rPr>
      </w:pPr>
    </w:p>
    <w:p w14:paraId="100C297D" w14:textId="77777777" w:rsidR="00A40145" w:rsidRPr="009F25CF" w:rsidRDefault="00A40145" w:rsidP="00A40145">
      <w:pPr>
        <w:rPr>
          <w:rFonts w:ascii="Comic Sans MS" w:hAnsi="Comic Sans MS" w:cs="Calibri"/>
          <w:lang w:eastAsia="ja-JP"/>
        </w:rPr>
      </w:pPr>
    </w:p>
    <w:p w14:paraId="3DA04A12" w14:textId="77777777" w:rsidR="00A40145" w:rsidRPr="009F25CF" w:rsidRDefault="00A40145" w:rsidP="00A40145">
      <w:pPr>
        <w:rPr>
          <w:rFonts w:ascii="Comic Sans MS" w:hAnsi="Comic Sans MS" w:cs="Calibri"/>
          <w:lang w:eastAsia="ja-JP"/>
        </w:rPr>
      </w:pPr>
    </w:p>
    <w:p w14:paraId="49466E14" w14:textId="77777777" w:rsidR="00A40145" w:rsidRPr="009F25CF" w:rsidRDefault="00A40145" w:rsidP="00A40145">
      <w:pPr>
        <w:rPr>
          <w:rFonts w:ascii="Comic Sans MS" w:hAnsi="Comic Sans MS" w:cs="Calibri"/>
          <w:lang w:eastAsia="ja-JP"/>
        </w:rPr>
      </w:pPr>
    </w:p>
    <w:p w14:paraId="2DF9D16E" w14:textId="77777777" w:rsidR="00D8552A" w:rsidRPr="009F25CF" w:rsidRDefault="00D8552A" w:rsidP="00A40145">
      <w:pPr>
        <w:rPr>
          <w:rFonts w:ascii="Comic Sans MS" w:hAnsi="Comic Sans MS" w:cs="Calibri"/>
          <w:lang w:eastAsia="ja-JP"/>
        </w:rPr>
      </w:pPr>
    </w:p>
    <w:p w14:paraId="63E42C78" w14:textId="77777777" w:rsidR="00D8552A" w:rsidRPr="009F25CF" w:rsidRDefault="00D8552A" w:rsidP="00A40145">
      <w:pPr>
        <w:rPr>
          <w:rFonts w:ascii="Comic Sans MS" w:hAnsi="Comic Sans MS" w:cs="Calibri"/>
          <w:lang w:eastAsia="ja-JP"/>
        </w:rPr>
      </w:pPr>
    </w:p>
    <w:p w14:paraId="438AEAAF" w14:textId="77777777" w:rsidR="00D8552A" w:rsidRPr="009F25CF" w:rsidRDefault="00D8552A" w:rsidP="00A40145">
      <w:pPr>
        <w:rPr>
          <w:rFonts w:ascii="Comic Sans MS" w:hAnsi="Comic Sans MS" w:cs="Calibri"/>
          <w:lang w:eastAsia="ja-JP"/>
        </w:rPr>
      </w:pPr>
    </w:p>
    <w:p w14:paraId="435A156A" w14:textId="77777777" w:rsidR="00D8552A" w:rsidRPr="009F25CF" w:rsidRDefault="00D8552A" w:rsidP="00A40145">
      <w:pPr>
        <w:rPr>
          <w:rFonts w:ascii="Comic Sans MS" w:hAnsi="Comic Sans MS" w:cs="Calibri"/>
          <w:lang w:eastAsia="ja-JP"/>
        </w:rPr>
      </w:pPr>
    </w:p>
    <w:p w14:paraId="71F4552D" w14:textId="77777777" w:rsidR="00D8552A" w:rsidRPr="009F25CF" w:rsidRDefault="00D8552A" w:rsidP="00A40145">
      <w:pPr>
        <w:rPr>
          <w:rFonts w:ascii="Comic Sans MS" w:hAnsi="Comic Sans MS" w:cs="Calibri"/>
          <w:lang w:eastAsia="ja-JP"/>
        </w:rPr>
      </w:pPr>
    </w:p>
    <w:bookmarkEnd w:id="18"/>
    <w:bookmarkEnd w:id="19"/>
    <w:p w14:paraId="3492B194" w14:textId="77777777" w:rsidR="00AC7E06" w:rsidRPr="009F25CF" w:rsidRDefault="00AC7E06">
      <w:pPr>
        <w:pStyle w:val="Titre1"/>
        <w:numPr>
          <w:ilvl w:val="0"/>
          <w:numId w:val="4"/>
        </w:numPr>
        <w:bidi w:val="0"/>
        <w:spacing w:before="0"/>
        <w:ind w:left="426"/>
        <w:jc w:val="left"/>
        <w:rPr>
          <w:rFonts w:ascii="Comic Sans MS" w:hAnsi="Comic Sans MS" w:cs="Calibri"/>
          <w:sz w:val="24"/>
          <w:szCs w:val="24"/>
          <w:lang w:val="fr-FR"/>
        </w:rPr>
        <w:sectPr w:rsidR="00AC7E06" w:rsidRPr="009F25CF" w:rsidSect="005F16EF">
          <w:pgSz w:w="12240" w:h="15840"/>
          <w:pgMar w:top="1135" w:right="616" w:bottom="1440" w:left="1276" w:header="708" w:footer="708" w:gutter="0"/>
          <w:pgNumType w:start="1" w:chapStyle="1"/>
          <w:cols w:space="708"/>
          <w:titlePg/>
          <w:docGrid w:linePitch="360"/>
        </w:sectPr>
      </w:pPr>
    </w:p>
    <w:p w14:paraId="1C3C4A25" w14:textId="50A5E013" w:rsidR="0079544C" w:rsidRPr="009F25CF" w:rsidRDefault="00B40152">
      <w:pPr>
        <w:pStyle w:val="Titre1"/>
        <w:numPr>
          <w:ilvl w:val="0"/>
          <w:numId w:val="4"/>
        </w:numPr>
        <w:bidi w:val="0"/>
        <w:spacing w:before="0"/>
        <w:ind w:left="426"/>
        <w:jc w:val="left"/>
        <w:rPr>
          <w:rFonts w:ascii="Comic Sans MS" w:hAnsi="Comic Sans MS" w:cs="Calibri"/>
          <w:sz w:val="24"/>
          <w:szCs w:val="24"/>
          <w:lang w:val="fr-FR"/>
        </w:rPr>
      </w:pPr>
      <w:bookmarkStart w:id="20" w:name="_Toc166937614"/>
      <w:r w:rsidRPr="009F25CF">
        <w:rPr>
          <w:rFonts w:ascii="Comic Sans MS" w:hAnsi="Comic Sans MS" w:cs="Calibri"/>
          <w:sz w:val="24"/>
          <w:szCs w:val="24"/>
          <w:lang w:val="fr-FR"/>
        </w:rPr>
        <w:lastRenderedPageBreak/>
        <w:t>INTRODUCTION</w:t>
      </w:r>
      <w:bookmarkEnd w:id="20"/>
    </w:p>
    <w:p w14:paraId="4FF52EEE" w14:textId="6FDC1767" w:rsidR="005A1077" w:rsidRPr="009F25CF" w:rsidRDefault="0079544C" w:rsidP="00111243">
      <w:pPr>
        <w:spacing w:before="0"/>
        <w:ind w:left="0" w:firstLine="0"/>
        <w:rPr>
          <w:rFonts w:ascii="Comic Sans MS" w:hAnsi="Comic Sans MS" w:cstheme="minorHAnsi"/>
          <w:sz w:val="24"/>
          <w:szCs w:val="24"/>
        </w:rPr>
      </w:pPr>
      <w:r w:rsidRPr="009F25CF">
        <w:rPr>
          <w:rFonts w:ascii="Comic Sans MS" w:hAnsi="Comic Sans MS" w:cstheme="minorHAnsi"/>
          <w:sz w:val="24"/>
          <w:szCs w:val="24"/>
        </w:rPr>
        <w:t>La Mauritanie fait partie des pays non annexe I de la CCNUCC</w:t>
      </w:r>
      <w:r w:rsidR="00AB3F37" w:rsidRPr="009F25CF">
        <w:rPr>
          <w:rFonts w:ascii="Comic Sans MS" w:hAnsi="Comic Sans MS" w:cstheme="minorHAnsi"/>
          <w:sz w:val="24"/>
          <w:szCs w:val="24"/>
        </w:rPr>
        <w:t>.</w:t>
      </w:r>
      <w:r w:rsidRPr="009F25CF">
        <w:rPr>
          <w:rFonts w:ascii="Comic Sans MS" w:hAnsi="Comic Sans MS" w:cstheme="minorHAnsi"/>
          <w:sz w:val="24"/>
          <w:szCs w:val="24"/>
        </w:rPr>
        <w:t xml:space="preserve"> </w:t>
      </w:r>
      <w:r w:rsidR="00AB3F37" w:rsidRPr="009F25CF">
        <w:rPr>
          <w:rFonts w:ascii="Comic Sans MS" w:hAnsi="Comic Sans MS" w:cstheme="minorHAnsi"/>
          <w:sz w:val="24"/>
          <w:szCs w:val="24"/>
        </w:rPr>
        <w:t>Par conséquent</w:t>
      </w:r>
      <w:r w:rsidR="007A37B2" w:rsidRPr="009F25CF">
        <w:rPr>
          <w:rFonts w:ascii="Comic Sans MS" w:hAnsi="Comic Sans MS" w:cstheme="minorHAnsi"/>
          <w:sz w:val="24"/>
          <w:szCs w:val="24"/>
        </w:rPr>
        <w:t>,</w:t>
      </w:r>
      <w:r w:rsidR="00AB3F37" w:rsidRPr="009F25CF">
        <w:rPr>
          <w:rFonts w:ascii="Comic Sans MS" w:hAnsi="Comic Sans MS" w:cstheme="minorHAnsi"/>
          <w:sz w:val="24"/>
          <w:szCs w:val="24"/>
        </w:rPr>
        <w:t xml:space="preserve"> le pays n’est soumis à aucune contrainte de quota conformément à la Convention. Selon </w:t>
      </w:r>
      <w:r w:rsidR="006F5C3B" w:rsidRPr="009F25CF">
        <w:rPr>
          <w:rFonts w:ascii="Comic Sans MS" w:hAnsi="Comic Sans MS" w:cstheme="minorHAnsi"/>
          <w:sz w:val="24"/>
          <w:szCs w:val="24"/>
        </w:rPr>
        <w:t xml:space="preserve">les résultats de </w:t>
      </w:r>
      <w:r w:rsidR="00AB3F37" w:rsidRPr="009F25CF">
        <w:rPr>
          <w:rFonts w:ascii="Comic Sans MS" w:hAnsi="Comic Sans MS" w:cstheme="minorHAnsi"/>
          <w:sz w:val="24"/>
          <w:szCs w:val="24"/>
        </w:rPr>
        <w:t>l’</w:t>
      </w:r>
      <w:r w:rsidR="0011359D" w:rsidRPr="009F25CF">
        <w:rPr>
          <w:rFonts w:ascii="Comic Sans MS" w:hAnsi="Comic Sans MS" w:cstheme="minorHAnsi"/>
          <w:sz w:val="24"/>
          <w:szCs w:val="24"/>
        </w:rPr>
        <w:t>i</w:t>
      </w:r>
      <w:r w:rsidR="00BD4291" w:rsidRPr="009F25CF">
        <w:rPr>
          <w:rFonts w:ascii="Comic Sans MS" w:hAnsi="Comic Sans MS" w:cstheme="minorHAnsi"/>
          <w:sz w:val="24"/>
          <w:szCs w:val="24"/>
        </w:rPr>
        <w:t>nventaire des gaz à effet de serre (I</w:t>
      </w:r>
      <w:r w:rsidR="00AB3F37" w:rsidRPr="009F25CF">
        <w:rPr>
          <w:rFonts w:ascii="Comic Sans MS" w:hAnsi="Comic Sans MS" w:cstheme="minorHAnsi"/>
          <w:sz w:val="24"/>
          <w:szCs w:val="24"/>
        </w:rPr>
        <w:t>GE</w:t>
      </w:r>
      <w:r w:rsidR="00BD4291" w:rsidRPr="009F25CF">
        <w:rPr>
          <w:rFonts w:ascii="Comic Sans MS" w:hAnsi="Comic Sans MS" w:cstheme="minorHAnsi"/>
          <w:sz w:val="24"/>
          <w:szCs w:val="24"/>
        </w:rPr>
        <w:t>S)</w:t>
      </w:r>
      <w:r w:rsidR="00DC7C22" w:rsidRPr="009F25CF">
        <w:rPr>
          <w:rFonts w:ascii="Comic Sans MS" w:hAnsi="Comic Sans MS" w:cstheme="minorHAnsi"/>
          <w:sz w:val="24"/>
          <w:szCs w:val="24"/>
        </w:rPr>
        <w:t>,</w:t>
      </w:r>
      <w:r w:rsidR="00AB3F37" w:rsidRPr="009F25CF">
        <w:rPr>
          <w:rFonts w:ascii="Comic Sans MS" w:hAnsi="Comic Sans MS" w:cstheme="minorHAnsi"/>
          <w:sz w:val="24"/>
          <w:szCs w:val="24"/>
        </w:rPr>
        <w:t xml:space="preserve"> réalisé </w:t>
      </w:r>
      <w:r w:rsidR="00DC7C22" w:rsidRPr="009F25CF">
        <w:rPr>
          <w:rFonts w:ascii="Comic Sans MS" w:hAnsi="Comic Sans MS" w:cstheme="minorHAnsi"/>
          <w:sz w:val="24"/>
          <w:szCs w:val="24"/>
        </w:rPr>
        <w:t>en 20</w:t>
      </w:r>
      <w:r w:rsidR="006F5C3B" w:rsidRPr="009F25CF">
        <w:rPr>
          <w:rFonts w:ascii="Comic Sans MS" w:hAnsi="Comic Sans MS" w:cstheme="minorHAnsi"/>
          <w:sz w:val="24"/>
          <w:szCs w:val="24"/>
        </w:rPr>
        <w:t>2</w:t>
      </w:r>
      <w:r w:rsidR="008F490E">
        <w:rPr>
          <w:rFonts w:ascii="Comic Sans MS" w:hAnsi="Comic Sans MS" w:cstheme="minorHAnsi"/>
          <w:sz w:val="24"/>
          <w:szCs w:val="24"/>
        </w:rPr>
        <w:t>3</w:t>
      </w:r>
      <w:r w:rsidR="00605FFF">
        <w:rPr>
          <w:rFonts w:ascii="Comic Sans MS" w:hAnsi="Comic Sans MS" w:cstheme="minorHAnsi"/>
          <w:sz w:val="24"/>
          <w:szCs w:val="24"/>
        </w:rPr>
        <w:t>/2024</w:t>
      </w:r>
      <w:r w:rsidR="00DC7C22" w:rsidRPr="009F25CF">
        <w:rPr>
          <w:rFonts w:ascii="Comic Sans MS" w:hAnsi="Comic Sans MS" w:cstheme="minorHAnsi"/>
          <w:sz w:val="24"/>
          <w:szCs w:val="24"/>
        </w:rPr>
        <w:t xml:space="preserve">, </w:t>
      </w:r>
      <w:r w:rsidR="00773A01">
        <w:rPr>
          <w:rFonts w:ascii="Comic Sans MS" w:hAnsi="Comic Sans MS" w:cstheme="minorHAnsi"/>
          <w:sz w:val="24"/>
          <w:szCs w:val="24"/>
        </w:rPr>
        <w:t xml:space="preserve">les émissions du </w:t>
      </w:r>
      <w:r w:rsidR="006F5C3B" w:rsidRPr="009F25CF">
        <w:rPr>
          <w:rFonts w:ascii="Comic Sans MS" w:hAnsi="Comic Sans MS" w:cstheme="minorHAnsi"/>
          <w:sz w:val="24"/>
          <w:szCs w:val="24"/>
        </w:rPr>
        <w:t>sous-</w:t>
      </w:r>
      <w:r w:rsidR="00485459" w:rsidRPr="009F25CF">
        <w:rPr>
          <w:rFonts w:ascii="Comic Sans MS" w:hAnsi="Comic Sans MS" w:cstheme="minorHAnsi"/>
          <w:sz w:val="24"/>
          <w:szCs w:val="24"/>
        </w:rPr>
        <w:t xml:space="preserve">secteur </w:t>
      </w:r>
      <w:r w:rsidR="002077ED">
        <w:rPr>
          <w:rFonts w:ascii="Comic Sans MS" w:hAnsi="Comic Sans MS" w:cstheme="minorHAnsi"/>
          <w:sz w:val="24"/>
          <w:szCs w:val="24"/>
        </w:rPr>
        <w:t xml:space="preserve">énergies résidentielles </w:t>
      </w:r>
      <w:r w:rsidR="00773A01">
        <w:rPr>
          <w:rFonts w:ascii="Comic Sans MS" w:hAnsi="Comic Sans MS" w:cstheme="minorHAnsi"/>
          <w:sz w:val="24"/>
          <w:szCs w:val="24"/>
        </w:rPr>
        <w:t>ont été</w:t>
      </w:r>
      <w:r w:rsidR="00485459" w:rsidRPr="009F25CF">
        <w:rPr>
          <w:rFonts w:ascii="Comic Sans MS" w:hAnsi="Comic Sans MS" w:cstheme="minorHAnsi"/>
          <w:sz w:val="24"/>
          <w:szCs w:val="24"/>
        </w:rPr>
        <w:t xml:space="preserve"> </w:t>
      </w:r>
      <w:r w:rsidR="00D341CE" w:rsidRPr="009F25CF">
        <w:rPr>
          <w:rFonts w:ascii="Comic Sans MS" w:hAnsi="Comic Sans MS" w:cstheme="minorHAnsi"/>
          <w:sz w:val="24"/>
          <w:szCs w:val="24"/>
        </w:rPr>
        <w:t>évaluée</w:t>
      </w:r>
      <w:r w:rsidR="00773A01">
        <w:rPr>
          <w:rFonts w:ascii="Comic Sans MS" w:hAnsi="Comic Sans MS" w:cstheme="minorHAnsi"/>
          <w:sz w:val="24"/>
          <w:szCs w:val="24"/>
        </w:rPr>
        <w:t>s</w:t>
      </w:r>
      <w:r w:rsidR="00D341CE" w:rsidRPr="009F25CF">
        <w:rPr>
          <w:rFonts w:ascii="Comic Sans MS" w:hAnsi="Comic Sans MS" w:cstheme="minorHAnsi"/>
          <w:sz w:val="24"/>
          <w:szCs w:val="24"/>
        </w:rPr>
        <w:t xml:space="preserve"> à </w:t>
      </w:r>
      <w:r w:rsidR="00E65C55" w:rsidRPr="009C6DC3">
        <w:rPr>
          <w:rFonts w:ascii="Comic Sans MS" w:hAnsi="Comic Sans MS"/>
        </w:rPr>
        <w:t xml:space="preserve">691,1 </w:t>
      </w:r>
      <w:proofErr w:type="spellStart"/>
      <w:r w:rsidR="006F5C3B" w:rsidRPr="009C6DC3">
        <w:rPr>
          <w:rFonts w:ascii="Comic Sans MS" w:hAnsi="Comic Sans MS" w:cstheme="minorHAnsi"/>
          <w:sz w:val="24"/>
          <w:szCs w:val="24"/>
        </w:rPr>
        <w:t>Gg</w:t>
      </w:r>
      <w:proofErr w:type="spellEnd"/>
      <w:r w:rsidR="006F5C3B" w:rsidRPr="009C6DC3">
        <w:rPr>
          <w:rFonts w:ascii="Comic Sans MS" w:hAnsi="Comic Sans MS" w:cstheme="minorHAnsi"/>
          <w:sz w:val="24"/>
          <w:szCs w:val="24"/>
        </w:rPr>
        <w:t xml:space="preserve"> Eq-CO</w:t>
      </w:r>
      <w:r w:rsidR="006F5C3B" w:rsidRPr="009C6DC3">
        <w:rPr>
          <w:rFonts w:ascii="Comic Sans MS" w:hAnsi="Comic Sans MS" w:cstheme="minorHAnsi"/>
          <w:sz w:val="24"/>
          <w:szCs w:val="24"/>
          <w:vertAlign w:val="subscript"/>
        </w:rPr>
        <w:t>2</w:t>
      </w:r>
      <w:r w:rsidR="00773A01">
        <w:rPr>
          <w:rFonts w:ascii="Comic Sans MS" w:hAnsi="Comic Sans MS" w:cstheme="minorHAnsi"/>
          <w:b/>
          <w:bCs/>
          <w:i/>
          <w:iCs/>
          <w:sz w:val="24"/>
          <w:szCs w:val="24"/>
          <w:vertAlign w:val="subscript"/>
        </w:rPr>
        <w:t xml:space="preserve"> </w:t>
      </w:r>
      <w:r w:rsidR="00773A01" w:rsidRPr="00773A01">
        <w:rPr>
          <w:rFonts w:ascii="Comic Sans MS" w:hAnsi="Comic Sans MS" w:cstheme="minorHAnsi"/>
          <w:sz w:val="24"/>
          <w:szCs w:val="24"/>
        </w:rPr>
        <w:t>pour l’année 2020</w:t>
      </w:r>
      <w:r w:rsidR="00485459" w:rsidRPr="009F25CF">
        <w:rPr>
          <w:rFonts w:ascii="Comic Sans MS" w:hAnsi="Comic Sans MS" w:cstheme="minorHAnsi"/>
          <w:sz w:val="24"/>
          <w:szCs w:val="24"/>
        </w:rPr>
        <w:t xml:space="preserve">. </w:t>
      </w:r>
      <w:r w:rsidR="006F5C3B" w:rsidRPr="009F25CF">
        <w:rPr>
          <w:rFonts w:ascii="Comic Sans MS" w:hAnsi="Comic Sans MS" w:cstheme="minorHAnsi"/>
          <w:sz w:val="24"/>
          <w:szCs w:val="24"/>
        </w:rPr>
        <w:t xml:space="preserve">La comparaison de ce résultat avec celui du dernier inventaire (2015), montre une </w:t>
      </w:r>
      <w:r w:rsidR="00DB2A91">
        <w:rPr>
          <w:rFonts w:ascii="Comic Sans MS" w:hAnsi="Comic Sans MS" w:cstheme="minorHAnsi"/>
          <w:sz w:val="24"/>
          <w:szCs w:val="24"/>
        </w:rPr>
        <w:t xml:space="preserve">réduction des émissions </w:t>
      </w:r>
      <w:r w:rsidR="006F5C3B" w:rsidRPr="009F25CF">
        <w:rPr>
          <w:rFonts w:ascii="Comic Sans MS" w:hAnsi="Comic Sans MS" w:cstheme="minorHAnsi"/>
          <w:sz w:val="24"/>
          <w:szCs w:val="24"/>
        </w:rPr>
        <w:t xml:space="preserve">d’environ </w:t>
      </w:r>
      <w:r w:rsidR="00DB2A91">
        <w:rPr>
          <w:rFonts w:ascii="Comic Sans MS" w:hAnsi="Comic Sans MS" w:cstheme="minorHAnsi"/>
          <w:sz w:val="24"/>
          <w:szCs w:val="24"/>
        </w:rPr>
        <w:t>9</w:t>
      </w:r>
      <w:r w:rsidR="006F5C3B" w:rsidRPr="009F25CF">
        <w:rPr>
          <w:rFonts w:ascii="Comic Sans MS" w:hAnsi="Comic Sans MS" w:cstheme="minorHAnsi"/>
          <w:sz w:val="24"/>
          <w:szCs w:val="24"/>
        </w:rPr>
        <w:t>%.</w:t>
      </w:r>
    </w:p>
    <w:p w14:paraId="0C1630DD" w14:textId="77777777" w:rsidR="00485459" w:rsidRPr="009F25CF" w:rsidRDefault="00485459" w:rsidP="00111243">
      <w:pPr>
        <w:spacing w:before="0"/>
        <w:ind w:left="0" w:firstLine="0"/>
        <w:rPr>
          <w:rFonts w:ascii="Comic Sans MS" w:hAnsi="Comic Sans MS" w:cstheme="minorHAnsi"/>
          <w:sz w:val="24"/>
          <w:szCs w:val="24"/>
        </w:rPr>
      </w:pPr>
    </w:p>
    <w:p w14:paraId="63C412DD" w14:textId="12766120" w:rsidR="00111243" w:rsidRPr="00516DE3" w:rsidRDefault="00111243" w:rsidP="00516DE3">
      <w:pPr>
        <w:spacing w:before="0"/>
        <w:ind w:left="0" w:firstLine="0"/>
        <w:rPr>
          <w:rFonts w:ascii="Comic Sans MS" w:hAnsi="Comic Sans MS" w:cs="Calibri"/>
          <w:sz w:val="24"/>
          <w:szCs w:val="24"/>
        </w:rPr>
      </w:pPr>
      <w:r w:rsidRPr="00111243">
        <w:rPr>
          <w:rFonts w:ascii="Comic Sans MS" w:hAnsi="Comic Sans MS" w:cs="Calibri"/>
          <w:sz w:val="24"/>
          <w:szCs w:val="24"/>
        </w:rPr>
        <w:t>Le</w:t>
      </w:r>
      <w:r>
        <w:rPr>
          <w:rFonts w:ascii="Comic Sans MS" w:hAnsi="Comic Sans MS" w:cs="Calibri"/>
          <w:sz w:val="24"/>
          <w:szCs w:val="24"/>
        </w:rPr>
        <w:t xml:space="preserve"> sous-secteur </w:t>
      </w:r>
      <w:r w:rsidRPr="00111243">
        <w:rPr>
          <w:rFonts w:ascii="Comic Sans MS" w:hAnsi="Comic Sans MS" w:cs="Calibri"/>
          <w:sz w:val="24"/>
          <w:szCs w:val="24"/>
        </w:rPr>
        <w:t xml:space="preserve">énergies résidentielles </w:t>
      </w:r>
      <w:r>
        <w:rPr>
          <w:rFonts w:ascii="Comic Sans MS" w:hAnsi="Comic Sans MS" w:cs="Calibri"/>
          <w:sz w:val="24"/>
          <w:szCs w:val="24"/>
        </w:rPr>
        <w:t>est très utile pour le pays à cause de son importante contribution dans la satisfaction d</w:t>
      </w:r>
      <w:r w:rsidR="00B84F84">
        <w:rPr>
          <w:rFonts w:ascii="Comic Sans MS" w:hAnsi="Comic Sans MS" w:cs="Calibri"/>
          <w:sz w:val="24"/>
          <w:szCs w:val="24"/>
        </w:rPr>
        <w:t>es</w:t>
      </w:r>
      <w:r>
        <w:rPr>
          <w:rFonts w:ascii="Comic Sans MS" w:hAnsi="Comic Sans MS" w:cs="Calibri"/>
          <w:sz w:val="24"/>
          <w:szCs w:val="24"/>
        </w:rPr>
        <w:t xml:space="preserve"> besoins des populations en énergies </w:t>
      </w:r>
      <w:r w:rsidRPr="00111243">
        <w:rPr>
          <w:rFonts w:ascii="Comic Sans MS" w:hAnsi="Comic Sans MS" w:cs="Calibri"/>
          <w:sz w:val="24"/>
          <w:szCs w:val="24"/>
        </w:rPr>
        <w:t>domestiques</w:t>
      </w:r>
      <w:r>
        <w:rPr>
          <w:rFonts w:ascii="Comic Sans MS" w:hAnsi="Comic Sans MS" w:cs="Calibri"/>
          <w:sz w:val="24"/>
          <w:szCs w:val="24"/>
        </w:rPr>
        <w:t xml:space="preserve">. Les </w:t>
      </w:r>
      <w:r w:rsidRPr="00111243">
        <w:rPr>
          <w:rFonts w:ascii="Comic Sans MS" w:hAnsi="Comic Sans MS" w:cs="Calibri"/>
          <w:sz w:val="24"/>
          <w:szCs w:val="24"/>
        </w:rPr>
        <w:t>principa</w:t>
      </w:r>
      <w:r>
        <w:rPr>
          <w:rFonts w:ascii="Comic Sans MS" w:hAnsi="Comic Sans MS" w:cs="Calibri"/>
          <w:sz w:val="24"/>
          <w:szCs w:val="24"/>
        </w:rPr>
        <w:t>les composante</w:t>
      </w:r>
      <w:r w:rsidR="00516DE3">
        <w:rPr>
          <w:rFonts w:ascii="Comic Sans MS" w:hAnsi="Comic Sans MS" w:cs="Calibri"/>
          <w:sz w:val="24"/>
          <w:szCs w:val="24"/>
        </w:rPr>
        <w:t>s</w:t>
      </w:r>
      <w:r>
        <w:rPr>
          <w:rFonts w:ascii="Comic Sans MS" w:hAnsi="Comic Sans MS" w:cs="Calibri"/>
          <w:sz w:val="24"/>
          <w:szCs w:val="24"/>
        </w:rPr>
        <w:t xml:space="preserve"> de cette énergie résidentielle sont</w:t>
      </w:r>
      <w:r w:rsidR="00516DE3">
        <w:rPr>
          <w:rFonts w:ascii="Comic Sans MS" w:hAnsi="Comic Sans MS" w:cs="Calibri"/>
          <w:sz w:val="24"/>
          <w:szCs w:val="24"/>
        </w:rPr>
        <w:t xml:space="preserve"> </w:t>
      </w:r>
      <w:r w:rsidRPr="00111243">
        <w:rPr>
          <w:rFonts w:ascii="Comic Sans MS" w:hAnsi="Comic Sans MS" w:cs="Calibri"/>
          <w:sz w:val="24"/>
          <w:szCs w:val="24"/>
        </w:rPr>
        <w:t>: (a) les carburants fossiles</w:t>
      </w:r>
      <w:r w:rsidR="00B84F84">
        <w:rPr>
          <w:rFonts w:ascii="Comic Sans MS" w:hAnsi="Comic Sans MS" w:cs="Calibri"/>
          <w:sz w:val="24"/>
          <w:szCs w:val="24"/>
        </w:rPr>
        <w:t xml:space="preserve"> (Gaz butane et P</w:t>
      </w:r>
      <w:r w:rsidRPr="00111243">
        <w:rPr>
          <w:rFonts w:ascii="Comic Sans MS" w:hAnsi="Comic Sans MS" w:cs="Calibri"/>
          <w:sz w:val="24"/>
          <w:szCs w:val="24"/>
        </w:rPr>
        <w:t>étrole lampant</w:t>
      </w:r>
      <w:r w:rsidR="00B84F84">
        <w:rPr>
          <w:rFonts w:ascii="Comic Sans MS" w:hAnsi="Comic Sans MS" w:cs="Calibri"/>
          <w:sz w:val="24"/>
          <w:szCs w:val="24"/>
        </w:rPr>
        <w:t>)</w:t>
      </w:r>
      <w:r w:rsidR="009C6DC3" w:rsidRPr="009C6DC3">
        <w:rPr>
          <w:rFonts w:ascii="Comic Sans MS" w:hAnsi="Comic Sans MS" w:cs="Calibri"/>
          <w:sz w:val="24"/>
          <w:szCs w:val="24"/>
        </w:rPr>
        <w:t xml:space="preserve"> </w:t>
      </w:r>
      <w:r w:rsidR="009C6DC3">
        <w:rPr>
          <w:rFonts w:ascii="Comic Sans MS" w:hAnsi="Comic Sans MS" w:cs="Calibri"/>
          <w:sz w:val="24"/>
          <w:szCs w:val="24"/>
        </w:rPr>
        <w:t xml:space="preserve">utilisées pour </w:t>
      </w:r>
      <w:r w:rsidR="00516DE3">
        <w:rPr>
          <w:rFonts w:ascii="Comic Sans MS" w:hAnsi="Comic Sans MS" w:cs="Calibri"/>
          <w:sz w:val="24"/>
          <w:szCs w:val="24"/>
        </w:rPr>
        <w:t>l</w:t>
      </w:r>
      <w:r w:rsidR="009C6DC3">
        <w:rPr>
          <w:rFonts w:ascii="Comic Sans MS" w:hAnsi="Comic Sans MS" w:cs="Calibri"/>
          <w:sz w:val="24"/>
          <w:szCs w:val="24"/>
        </w:rPr>
        <w:t xml:space="preserve">e cuisson d’aliments et l’éclairage en milieu rural </w:t>
      </w:r>
      <w:r w:rsidR="00B84F84">
        <w:rPr>
          <w:rFonts w:ascii="Comic Sans MS" w:hAnsi="Comic Sans MS" w:cs="Calibri"/>
          <w:sz w:val="24"/>
          <w:szCs w:val="24"/>
        </w:rPr>
        <w:t>et (b) les combustibles ligneux</w:t>
      </w:r>
      <w:r w:rsidRPr="00111243">
        <w:rPr>
          <w:rFonts w:ascii="Comic Sans MS" w:hAnsi="Comic Sans MS" w:cs="Calibri"/>
          <w:sz w:val="24"/>
          <w:szCs w:val="24"/>
        </w:rPr>
        <w:t xml:space="preserve"> </w:t>
      </w:r>
      <w:r w:rsidR="00B84F84">
        <w:rPr>
          <w:rFonts w:ascii="Comic Sans MS" w:hAnsi="Comic Sans MS" w:cs="Calibri"/>
          <w:sz w:val="24"/>
          <w:szCs w:val="24"/>
        </w:rPr>
        <w:t>(C</w:t>
      </w:r>
      <w:r w:rsidRPr="00111243">
        <w:rPr>
          <w:rFonts w:ascii="Comic Sans MS" w:hAnsi="Comic Sans MS" w:cs="Calibri"/>
          <w:sz w:val="24"/>
          <w:szCs w:val="24"/>
        </w:rPr>
        <w:t xml:space="preserve">harbon de bois </w:t>
      </w:r>
      <w:r w:rsidR="00516DE3">
        <w:rPr>
          <w:rFonts w:ascii="Comic Sans MS" w:hAnsi="Comic Sans MS" w:cs="Calibri"/>
          <w:sz w:val="24"/>
          <w:szCs w:val="24"/>
        </w:rPr>
        <w:t xml:space="preserve">et bois de </w:t>
      </w:r>
      <w:r w:rsidR="00516DE3" w:rsidRPr="00516DE3">
        <w:rPr>
          <w:rFonts w:ascii="Comic Sans MS" w:hAnsi="Comic Sans MS" w:cs="Calibri"/>
          <w:sz w:val="24"/>
          <w:szCs w:val="24"/>
        </w:rPr>
        <w:t xml:space="preserve">chauffe) </w:t>
      </w:r>
      <w:r w:rsidRPr="00516DE3">
        <w:rPr>
          <w:rFonts w:ascii="Comic Sans MS" w:hAnsi="Comic Sans MS" w:cs="Calibri"/>
          <w:sz w:val="24"/>
          <w:szCs w:val="24"/>
        </w:rPr>
        <w:t>utilisés également pour la cuisson d’aliments, chauffage de l’eau (thé, hammams, tanneries, etc.), grillades de la viande, forges et autres usages.</w:t>
      </w:r>
    </w:p>
    <w:p w14:paraId="7414A57D" w14:textId="77777777" w:rsidR="00111243" w:rsidRPr="00516DE3" w:rsidRDefault="00111243" w:rsidP="00516DE3">
      <w:pPr>
        <w:spacing w:before="0"/>
        <w:rPr>
          <w:rFonts w:ascii="Comic Sans MS" w:hAnsi="Comic Sans MS" w:cs="Calibri"/>
          <w:sz w:val="24"/>
          <w:szCs w:val="24"/>
        </w:rPr>
      </w:pPr>
    </w:p>
    <w:p w14:paraId="06967186" w14:textId="38927406" w:rsidR="00111243" w:rsidRDefault="00111243" w:rsidP="00332E24">
      <w:pPr>
        <w:spacing w:before="0"/>
        <w:ind w:left="0" w:firstLine="0"/>
        <w:rPr>
          <w:rFonts w:ascii="Comic Sans MS" w:hAnsi="Comic Sans MS" w:cs="Calibri"/>
          <w:sz w:val="24"/>
          <w:szCs w:val="24"/>
        </w:rPr>
      </w:pPr>
      <w:r w:rsidRPr="00516DE3">
        <w:rPr>
          <w:rFonts w:ascii="Comic Sans MS" w:hAnsi="Comic Sans MS" w:cs="Calibri"/>
          <w:sz w:val="24"/>
          <w:szCs w:val="24"/>
        </w:rPr>
        <w:t xml:space="preserve">Les différentes enquêtes permanentes sur les conditions de vie des ménages (EPCV), réalisées, ont affirmé </w:t>
      </w:r>
      <w:r w:rsidR="00516DE3">
        <w:rPr>
          <w:rFonts w:ascii="Comic Sans MS" w:hAnsi="Comic Sans MS" w:cs="Calibri"/>
          <w:sz w:val="24"/>
          <w:szCs w:val="24"/>
        </w:rPr>
        <w:t xml:space="preserve">la régression progressive de </w:t>
      </w:r>
      <w:r w:rsidRPr="00516DE3">
        <w:rPr>
          <w:rFonts w:ascii="Comic Sans MS" w:hAnsi="Comic Sans MS" w:cs="Calibri"/>
          <w:sz w:val="24"/>
          <w:szCs w:val="24"/>
        </w:rPr>
        <w:t xml:space="preserve">la consommation nationale en combustibles ligneux </w:t>
      </w:r>
      <w:r w:rsidR="00516DE3">
        <w:rPr>
          <w:rFonts w:ascii="Comic Sans MS" w:hAnsi="Comic Sans MS" w:cs="Calibri"/>
          <w:sz w:val="24"/>
          <w:szCs w:val="24"/>
        </w:rPr>
        <w:t>de</w:t>
      </w:r>
      <w:r w:rsidRPr="00516DE3">
        <w:rPr>
          <w:rFonts w:ascii="Comic Sans MS" w:hAnsi="Comic Sans MS" w:cs="Calibri"/>
          <w:sz w:val="24"/>
          <w:szCs w:val="24"/>
        </w:rPr>
        <w:t xml:space="preserve"> 70%</w:t>
      </w:r>
      <w:r w:rsidR="00516DE3">
        <w:rPr>
          <w:rFonts w:ascii="Comic Sans MS" w:hAnsi="Comic Sans MS" w:cs="Calibri"/>
          <w:sz w:val="24"/>
          <w:szCs w:val="24"/>
        </w:rPr>
        <w:t xml:space="preserve"> à </w:t>
      </w:r>
      <w:r w:rsidRPr="00516DE3">
        <w:rPr>
          <w:rFonts w:ascii="Comic Sans MS" w:hAnsi="Comic Sans MS" w:cs="Calibri"/>
          <w:sz w:val="24"/>
          <w:szCs w:val="24"/>
        </w:rPr>
        <w:t>48% entre 200</w:t>
      </w:r>
      <w:r w:rsidR="00516DE3">
        <w:rPr>
          <w:rFonts w:ascii="Comic Sans MS" w:hAnsi="Comic Sans MS" w:cs="Calibri"/>
          <w:sz w:val="24"/>
          <w:szCs w:val="24"/>
        </w:rPr>
        <w:t xml:space="preserve">0 </w:t>
      </w:r>
      <w:r w:rsidRPr="00516DE3">
        <w:rPr>
          <w:rFonts w:ascii="Comic Sans MS" w:hAnsi="Comic Sans MS" w:cs="Calibri"/>
          <w:sz w:val="24"/>
          <w:szCs w:val="24"/>
        </w:rPr>
        <w:t>et 2020</w:t>
      </w:r>
      <w:r w:rsidR="00516DE3">
        <w:rPr>
          <w:rFonts w:ascii="Comic Sans MS" w:hAnsi="Comic Sans MS" w:cs="Calibri"/>
          <w:sz w:val="24"/>
          <w:szCs w:val="24"/>
        </w:rPr>
        <w:t xml:space="preserve">. </w:t>
      </w:r>
      <w:r w:rsidRPr="00516DE3">
        <w:rPr>
          <w:rFonts w:ascii="Comic Sans MS" w:hAnsi="Comic Sans MS" w:cs="Calibri"/>
          <w:sz w:val="24"/>
          <w:szCs w:val="24"/>
        </w:rPr>
        <w:t>Selon les données de l’Agence nationale de la statistique et de l’analyse démographique et économique (ANSADE ex-office nationale de statistique), les énergies résidentielles la plus utilisées par les ménages à l’échelle nationale</w:t>
      </w:r>
      <w:r w:rsidR="00516DE3">
        <w:rPr>
          <w:rFonts w:ascii="Comic Sans MS" w:hAnsi="Comic Sans MS" w:cs="Calibri"/>
          <w:sz w:val="24"/>
          <w:szCs w:val="24"/>
        </w:rPr>
        <w:t>, en 2020</w:t>
      </w:r>
      <w:r w:rsidRPr="00516DE3">
        <w:rPr>
          <w:rFonts w:ascii="Comic Sans MS" w:hAnsi="Comic Sans MS" w:cs="Calibri"/>
          <w:sz w:val="24"/>
          <w:szCs w:val="24"/>
        </w:rPr>
        <w:t>, sont comme suit </w:t>
      </w:r>
      <w:r w:rsidR="00516DE3">
        <w:rPr>
          <w:rFonts w:ascii="Comic Sans MS" w:hAnsi="Comic Sans MS" w:cs="Calibri"/>
          <w:sz w:val="24"/>
          <w:szCs w:val="24"/>
        </w:rPr>
        <w:t xml:space="preserve">le gaz butane (50%), bois de chauffe (34,6%) et charbon de bois (13,7%). </w:t>
      </w:r>
      <w:r w:rsidRPr="00516DE3">
        <w:rPr>
          <w:rFonts w:ascii="Comic Sans MS" w:hAnsi="Comic Sans MS" w:cs="Calibri"/>
          <w:sz w:val="24"/>
          <w:szCs w:val="24"/>
        </w:rPr>
        <w:t xml:space="preserve"> </w:t>
      </w:r>
      <w:r w:rsidR="00332E24">
        <w:rPr>
          <w:rFonts w:ascii="Comic Sans MS" w:hAnsi="Comic Sans MS" w:cs="Calibri"/>
          <w:sz w:val="24"/>
          <w:szCs w:val="24"/>
        </w:rPr>
        <w:t xml:space="preserve">Cette consommation diffère entre le milieu rural et les zones urbaines. A cet effet, les </w:t>
      </w:r>
      <w:r w:rsidRPr="00A12FA8">
        <w:rPr>
          <w:rFonts w:ascii="Comic Sans MS" w:hAnsi="Comic Sans MS" w:cs="Calibri"/>
          <w:sz w:val="24"/>
          <w:szCs w:val="24"/>
        </w:rPr>
        <w:t>combustibles ligneux couvraient, en 2020, environ 71% de</w:t>
      </w:r>
      <w:r w:rsidR="00332E24">
        <w:rPr>
          <w:rFonts w:ascii="Comic Sans MS" w:hAnsi="Comic Sans MS" w:cs="Calibri"/>
          <w:sz w:val="24"/>
          <w:szCs w:val="24"/>
        </w:rPr>
        <w:t xml:space="preserve"> </w:t>
      </w:r>
      <w:r w:rsidRPr="00A12FA8">
        <w:rPr>
          <w:rFonts w:ascii="Comic Sans MS" w:hAnsi="Comic Sans MS" w:cs="Calibri"/>
          <w:sz w:val="24"/>
          <w:szCs w:val="24"/>
        </w:rPr>
        <w:t xml:space="preserve">besoin en énergie domestique </w:t>
      </w:r>
      <w:r w:rsidR="00332E24">
        <w:rPr>
          <w:rFonts w:ascii="Comic Sans MS" w:hAnsi="Comic Sans MS" w:cs="Calibri"/>
          <w:sz w:val="24"/>
          <w:szCs w:val="24"/>
        </w:rPr>
        <w:t xml:space="preserve">des ménages en milieu rural </w:t>
      </w:r>
      <w:r w:rsidRPr="00A12FA8">
        <w:rPr>
          <w:rFonts w:ascii="Comic Sans MS" w:hAnsi="Comic Sans MS" w:cs="Calibri"/>
          <w:sz w:val="24"/>
          <w:szCs w:val="24"/>
        </w:rPr>
        <w:t xml:space="preserve">pour la cuisson d’aliments (58,7% pour bois de chauffe et 12,5% pour le charbon de bois). </w:t>
      </w:r>
    </w:p>
    <w:p w14:paraId="02C3E7EE" w14:textId="77777777" w:rsidR="00332E24" w:rsidRDefault="00332E24" w:rsidP="00332E24">
      <w:pPr>
        <w:spacing w:before="0"/>
        <w:ind w:left="0" w:firstLine="0"/>
        <w:rPr>
          <w:rFonts w:ascii="Comic Sans MS" w:hAnsi="Comic Sans MS" w:cs="Calibri"/>
          <w:sz w:val="24"/>
          <w:szCs w:val="24"/>
        </w:rPr>
      </w:pPr>
    </w:p>
    <w:p w14:paraId="5FE6B4D3" w14:textId="0D8F84A7" w:rsidR="00111243" w:rsidRPr="009F3933" w:rsidRDefault="009F3933" w:rsidP="009F3933">
      <w:pPr>
        <w:spacing w:before="0"/>
        <w:ind w:left="0" w:firstLine="0"/>
        <w:rPr>
          <w:rFonts w:ascii="Comic Sans MS" w:hAnsi="Comic Sans MS" w:cs="Calibri"/>
          <w:sz w:val="24"/>
          <w:szCs w:val="24"/>
        </w:rPr>
      </w:pPr>
      <w:r>
        <w:rPr>
          <w:rFonts w:ascii="Comic Sans MS" w:hAnsi="Comic Sans MS" w:cs="Calibri"/>
          <w:sz w:val="24"/>
          <w:szCs w:val="24"/>
        </w:rPr>
        <w:t>La forte</w:t>
      </w:r>
      <w:r w:rsidR="00111243" w:rsidRPr="009F3933">
        <w:rPr>
          <w:rFonts w:ascii="Comic Sans MS" w:hAnsi="Comic Sans MS" w:cs="Calibri"/>
          <w:sz w:val="24"/>
          <w:szCs w:val="24"/>
        </w:rPr>
        <w:t xml:space="preserve"> dépendance </w:t>
      </w:r>
      <w:r>
        <w:rPr>
          <w:rFonts w:ascii="Comic Sans MS" w:hAnsi="Comic Sans MS" w:cs="Calibri"/>
          <w:sz w:val="24"/>
          <w:szCs w:val="24"/>
        </w:rPr>
        <w:t xml:space="preserve">des ménages des combustibles ligneux </w:t>
      </w:r>
      <w:r w:rsidR="00111243" w:rsidRPr="009F3933">
        <w:rPr>
          <w:rFonts w:ascii="Comic Sans MS" w:hAnsi="Comic Sans MS" w:cs="Calibri"/>
          <w:sz w:val="24"/>
          <w:szCs w:val="24"/>
        </w:rPr>
        <w:t xml:space="preserve">a toujours engendré une forte pression sur les ressources forestières et </w:t>
      </w:r>
      <w:r>
        <w:rPr>
          <w:rFonts w:ascii="Comic Sans MS" w:hAnsi="Comic Sans MS" w:cs="Calibri"/>
          <w:sz w:val="24"/>
          <w:szCs w:val="24"/>
        </w:rPr>
        <w:t xml:space="preserve">donc </w:t>
      </w:r>
      <w:r w:rsidR="00111243" w:rsidRPr="009F3933">
        <w:rPr>
          <w:rFonts w:ascii="Comic Sans MS" w:hAnsi="Comic Sans MS" w:cs="Calibri"/>
          <w:sz w:val="24"/>
          <w:szCs w:val="24"/>
        </w:rPr>
        <w:t>une déforestation d</w:t>
      </w:r>
      <w:r>
        <w:rPr>
          <w:rFonts w:ascii="Comic Sans MS" w:hAnsi="Comic Sans MS" w:cs="Calibri"/>
          <w:sz w:val="24"/>
          <w:szCs w:val="24"/>
        </w:rPr>
        <w:t>’environ 530</w:t>
      </w:r>
      <w:r w:rsidR="00111243" w:rsidRPr="009F3933">
        <w:rPr>
          <w:rFonts w:ascii="Comic Sans MS" w:hAnsi="Comic Sans MS" w:cs="Calibri"/>
          <w:sz w:val="24"/>
          <w:szCs w:val="24"/>
        </w:rPr>
        <w:t>0 ha/an</w:t>
      </w:r>
      <w:r>
        <w:rPr>
          <w:rFonts w:ascii="Comic Sans MS" w:hAnsi="Comic Sans MS" w:cs="Calibri"/>
          <w:sz w:val="24"/>
          <w:szCs w:val="24"/>
        </w:rPr>
        <w:t xml:space="preserve"> durant la période 2010-2020</w:t>
      </w:r>
      <w:r w:rsidR="00111243" w:rsidRPr="009F3933">
        <w:rPr>
          <w:rFonts w:ascii="Comic Sans MS" w:hAnsi="Comic Sans MS" w:cs="Calibri"/>
          <w:sz w:val="24"/>
          <w:szCs w:val="24"/>
        </w:rPr>
        <w:t xml:space="preserve">. </w:t>
      </w:r>
      <w:r>
        <w:rPr>
          <w:rFonts w:ascii="Comic Sans MS" w:hAnsi="Comic Sans MS" w:cs="Calibri"/>
          <w:sz w:val="24"/>
          <w:szCs w:val="24"/>
        </w:rPr>
        <w:t xml:space="preserve">En revanche, </w:t>
      </w:r>
      <w:r w:rsidR="00111243" w:rsidRPr="009F3933">
        <w:rPr>
          <w:rFonts w:ascii="Comic Sans MS" w:hAnsi="Comic Sans MS" w:cs="Calibri"/>
          <w:sz w:val="24"/>
          <w:szCs w:val="24"/>
        </w:rPr>
        <w:t>la réduction du couvert forestier national a été d’environ 42</w:t>
      </w:r>
      <w:r w:rsidR="00111243" w:rsidRPr="009F3933">
        <w:rPr>
          <w:sz w:val="24"/>
          <w:szCs w:val="24"/>
          <w:vertAlign w:val="superscript"/>
        </w:rPr>
        <w:footnoteReference w:id="1"/>
      </w:r>
      <w:r w:rsidR="00111243" w:rsidRPr="009F3933">
        <w:rPr>
          <w:rFonts w:ascii="Comic Sans MS" w:hAnsi="Comic Sans MS" w:cs="Calibri"/>
          <w:sz w:val="24"/>
          <w:szCs w:val="24"/>
        </w:rPr>
        <w:t>% entre 1980-2020</w:t>
      </w:r>
      <w:r>
        <w:rPr>
          <w:rFonts w:ascii="Comic Sans MS" w:hAnsi="Comic Sans MS" w:cs="Calibri"/>
          <w:sz w:val="24"/>
          <w:szCs w:val="24"/>
        </w:rPr>
        <w:t xml:space="preserve"> (FRA, 2020)</w:t>
      </w:r>
      <w:r w:rsidR="00111243" w:rsidRPr="009F3933">
        <w:rPr>
          <w:rFonts w:ascii="Comic Sans MS" w:hAnsi="Comic Sans MS" w:cs="Calibri"/>
          <w:sz w:val="24"/>
          <w:szCs w:val="24"/>
        </w:rPr>
        <w:t>.</w:t>
      </w:r>
      <w:r w:rsidR="00F00748">
        <w:rPr>
          <w:rFonts w:ascii="Comic Sans MS" w:hAnsi="Comic Sans MS" w:cs="Calibri"/>
          <w:sz w:val="24"/>
          <w:szCs w:val="24"/>
        </w:rPr>
        <w:t xml:space="preserve"> </w:t>
      </w:r>
      <w:r w:rsidR="00111243" w:rsidRPr="009F3933">
        <w:rPr>
          <w:rFonts w:ascii="Comic Sans MS" w:hAnsi="Comic Sans MS" w:cs="Calibri"/>
          <w:sz w:val="24"/>
          <w:szCs w:val="24"/>
        </w:rPr>
        <w:t xml:space="preserve"> </w:t>
      </w:r>
    </w:p>
    <w:p w14:paraId="30B3DC58" w14:textId="77777777" w:rsidR="00111243" w:rsidRPr="009F3933" w:rsidRDefault="00111243" w:rsidP="009F3933">
      <w:pPr>
        <w:spacing w:before="0"/>
        <w:ind w:left="0" w:firstLine="0"/>
        <w:rPr>
          <w:rFonts w:ascii="Comic Sans MS" w:hAnsi="Comic Sans MS" w:cs="Calibri"/>
          <w:sz w:val="24"/>
          <w:szCs w:val="24"/>
        </w:rPr>
      </w:pPr>
    </w:p>
    <w:p w14:paraId="2CDA6BB5" w14:textId="77777777" w:rsidR="00780E4A" w:rsidRDefault="00111243" w:rsidP="00780E4A">
      <w:pPr>
        <w:spacing w:before="0"/>
        <w:ind w:left="0" w:firstLine="0"/>
        <w:rPr>
          <w:rFonts w:ascii="Comic Sans MS" w:hAnsi="Comic Sans MS" w:cs="Calibri"/>
          <w:sz w:val="24"/>
          <w:szCs w:val="24"/>
        </w:rPr>
      </w:pPr>
      <w:r w:rsidRPr="00780E4A">
        <w:rPr>
          <w:rFonts w:ascii="Comic Sans MS" w:hAnsi="Comic Sans MS" w:cs="Calibri"/>
          <w:sz w:val="24"/>
          <w:szCs w:val="24"/>
        </w:rPr>
        <w:t xml:space="preserve">A noter que </w:t>
      </w:r>
      <w:r w:rsidR="00F00748" w:rsidRPr="00780E4A">
        <w:rPr>
          <w:rFonts w:ascii="Comic Sans MS" w:hAnsi="Comic Sans MS" w:cs="Calibri"/>
          <w:sz w:val="24"/>
          <w:szCs w:val="24"/>
        </w:rPr>
        <w:t xml:space="preserve">cette forte </w:t>
      </w:r>
      <w:r w:rsidRPr="00780E4A">
        <w:rPr>
          <w:rFonts w:ascii="Comic Sans MS" w:hAnsi="Comic Sans MS" w:cs="Calibri"/>
          <w:sz w:val="24"/>
          <w:szCs w:val="24"/>
        </w:rPr>
        <w:t xml:space="preserve">utilisation des combustibles ligneux </w:t>
      </w:r>
      <w:r w:rsidR="00780E4A" w:rsidRPr="00780E4A">
        <w:rPr>
          <w:rFonts w:ascii="Comic Sans MS" w:hAnsi="Comic Sans MS" w:cs="Calibri"/>
          <w:sz w:val="24"/>
          <w:szCs w:val="24"/>
        </w:rPr>
        <w:t xml:space="preserve">a </w:t>
      </w:r>
      <w:r w:rsidR="00780E4A">
        <w:rPr>
          <w:rFonts w:ascii="Comic Sans MS" w:hAnsi="Comic Sans MS" w:cs="Calibri"/>
          <w:sz w:val="24"/>
          <w:szCs w:val="24"/>
        </w:rPr>
        <w:t xml:space="preserve">toujours </w:t>
      </w:r>
      <w:r w:rsidR="00780E4A" w:rsidRPr="00780E4A">
        <w:rPr>
          <w:rFonts w:ascii="Comic Sans MS" w:hAnsi="Comic Sans MS" w:cs="Calibri"/>
          <w:sz w:val="24"/>
          <w:szCs w:val="24"/>
        </w:rPr>
        <w:t>permis</w:t>
      </w:r>
      <w:r w:rsidRPr="00780E4A">
        <w:rPr>
          <w:rFonts w:ascii="Comic Sans MS" w:hAnsi="Comic Sans MS" w:cs="Calibri"/>
          <w:sz w:val="24"/>
          <w:szCs w:val="24"/>
        </w:rPr>
        <w:t xml:space="preserve"> au pays une importante économie en devises par la réduction de la facture d’importation de gaz butane et de la subvention de son prix au niveau national. Selon l’étude de la filière de combustibles ligneux, réalisée en 2023, la population dépense annuellement environ 47 millions $ pour acheter le charbon de bois et le bois de chauffe.</w:t>
      </w:r>
      <w:r w:rsidRPr="00F00748">
        <w:rPr>
          <w:rFonts w:ascii="Comic Sans MS" w:hAnsi="Comic Sans MS" w:cs="Calibri"/>
          <w:sz w:val="24"/>
          <w:szCs w:val="24"/>
        </w:rPr>
        <w:t xml:space="preserve"> </w:t>
      </w:r>
      <w:r w:rsidR="00780E4A">
        <w:rPr>
          <w:rFonts w:ascii="Comic Sans MS" w:hAnsi="Comic Sans MS" w:cs="Calibri"/>
          <w:sz w:val="24"/>
          <w:szCs w:val="24"/>
        </w:rPr>
        <w:t xml:space="preserve">Elle a permis également le </w:t>
      </w:r>
      <w:r w:rsidRPr="00780E4A">
        <w:rPr>
          <w:rFonts w:ascii="Comic Sans MS" w:hAnsi="Comic Sans MS" w:cs="Calibri"/>
          <w:sz w:val="24"/>
          <w:szCs w:val="24"/>
        </w:rPr>
        <w:t xml:space="preserve">développement </w:t>
      </w:r>
      <w:r w:rsidR="00780E4A">
        <w:rPr>
          <w:rFonts w:ascii="Comic Sans MS" w:hAnsi="Comic Sans MS" w:cs="Calibri"/>
          <w:sz w:val="24"/>
          <w:szCs w:val="24"/>
        </w:rPr>
        <w:lastRenderedPageBreak/>
        <w:t>de la</w:t>
      </w:r>
      <w:r w:rsidRPr="00780E4A">
        <w:rPr>
          <w:rFonts w:ascii="Comic Sans MS" w:hAnsi="Comic Sans MS" w:cs="Calibri"/>
          <w:sz w:val="24"/>
          <w:szCs w:val="24"/>
        </w:rPr>
        <w:t xml:space="preserve"> filière charbon de bois et bois de chauffe qui offre aujourd’hui des milliers d’emplois et génère des millions de dollars (chiffre d’affaires estimé à 13 millions $ /an (FAO, 2023</w:t>
      </w:r>
      <w:r w:rsidRPr="00780E4A">
        <w:rPr>
          <w:sz w:val="24"/>
          <w:szCs w:val="24"/>
          <w:vertAlign w:val="superscript"/>
        </w:rPr>
        <w:footnoteReference w:id="2"/>
      </w:r>
      <w:r w:rsidRPr="00780E4A">
        <w:rPr>
          <w:rFonts w:ascii="Comic Sans MS" w:hAnsi="Comic Sans MS" w:cs="Calibri"/>
          <w:sz w:val="24"/>
          <w:szCs w:val="24"/>
        </w:rPr>
        <w:t>) et à 19 millions $/an (AMCC, 2023</w:t>
      </w:r>
      <w:r w:rsidRPr="00780E4A">
        <w:rPr>
          <w:sz w:val="24"/>
          <w:szCs w:val="24"/>
          <w:vertAlign w:val="superscript"/>
        </w:rPr>
        <w:footnoteReference w:id="3"/>
      </w:r>
      <w:r w:rsidRPr="00780E4A">
        <w:rPr>
          <w:rFonts w:ascii="Comic Sans MS" w:hAnsi="Comic Sans MS" w:cs="Calibri"/>
          <w:sz w:val="24"/>
          <w:szCs w:val="24"/>
        </w:rPr>
        <w:t xml:space="preserve">)). </w:t>
      </w:r>
    </w:p>
    <w:p w14:paraId="31C6574D" w14:textId="77777777" w:rsidR="00780E4A" w:rsidRDefault="00780E4A" w:rsidP="00780E4A">
      <w:pPr>
        <w:spacing w:before="0"/>
        <w:ind w:left="0" w:firstLine="0"/>
        <w:rPr>
          <w:rFonts w:ascii="Comic Sans MS" w:hAnsi="Comic Sans MS" w:cs="Calibri"/>
          <w:sz w:val="24"/>
          <w:szCs w:val="24"/>
        </w:rPr>
      </w:pPr>
    </w:p>
    <w:p w14:paraId="796A571C" w14:textId="6278BDBF" w:rsidR="00F63C36" w:rsidRDefault="009C02AC" w:rsidP="00780E4A">
      <w:pPr>
        <w:spacing w:before="0"/>
        <w:ind w:left="0" w:firstLine="0"/>
        <w:rPr>
          <w:rFonts w:ascii="Comic Sans MS" w:hAnsi="Comic Sans MS" w:cs="Calibri"/>
          <w:sz w:val="24"/>
          <w:szCs w:val="24"/>
        </w:rPr>
      </w:pPr>
      <w:r>
        <w:rPr>
          <w:rFonts w:ascii="Comic Sans MS" w:hAnsi="Comic Sans MS" w:cs="Calibri"/>
          <w:sz w:val="24"/>
          <w:szCs w:val="24"/>
        </w:rPr>
        <w:t xml:space="preserve">En ce qui concerne </w:t>
      </w:r>
      <w:r w:rsidR="00111243" w:rsidRPr="00780E4A">
        <w:rPr>
          <w:rFonts w:ascii="Comic Sans MS" w:hAnsi="Comic Sans MS" w:cs="Calibri"/>
          <w:sz w:val="24"/>
          <w:szCs w:val="24"/>
        </w:rPr>
        <w:t>l</w:t>
      </w:r>
      <w:r>
        <w:rPr>
          <w:rFonts w:ascii="Comic Sans MS" w:hAnsi="Comic Sans MS" w:cs="Calibri"/>
          <w:sz w:val="24"/>
          <w:szCs w:val="24"/>
        </w:rPr>
        <w:t>’usage des énergies de cuisson</w:t>
      </w:r>
      <w:r w:rsidR="00111243" w:rsidRPr="00780E4A">
        <w:rPr>
          <w:rFonts w:ascii="Comic Sans MS" w:hAnsi="Comic Sans MS" w:cs="Calibri"/>
          <w:sz w:val="24"/>
          <w:szCs w:val="24"/>
        </w:rPr>
        <w:t xml:space="preserve">, aucune </w:t>
      </w:r>
      <w:r>
        <w:rPr>
          <w:rFonts w:ascii="Comic Sans MS" w:hAnsi="Comic Sans MS" w:cs="Calibri"/>
          <w:sz w:val="24"/>
          <w:szCs w:val="24"/>
        </w:rPr>
        <w:t xml:space="preserve">autre </w:t>
      </w:r>
      <w:r w:rsidR="00111243" w:rsidRPr="00780E4A">
        <w:rPr>
          <w:rFonts w:ascii="Comic Sans MS" w:hAnsi="Comic Sans MS" w:cs="Calibri"/>
          <w:sz w:val="24"/>
          <w:szCs w:val="24"/>
        </w:rPr>
        <w:t xml:space="preserve">source d’énergie ne peut se substituer totalement </w:t>
      </w:r>
      <w:r>
        <w:rPr>
          <w:rFonts w:ascii="Comic Sans MS" w:hAnsi="Comic Sans MS" w:cs="Calibri"/>
          <w:sz w:val="24"/>
          <w:szCs w:val="24"/>
        </w:rPr>
        <w:t xml:space="preserve">à l’usage des </w:t>
      </w:r>
      <w:r w:rsidR="00111243" w:rsidRPr="00780E4A">
        <w:rPr>
          <w:rFonts w:ascii="Comic Sans MS" w:hAnsi="Comic Sans MS" w:cs="Calibri"/>
          <w:sz w:val="24"/>
          <w:szCs w:val="24"/>
        </w:rPr>
        <w:t>combustibles ligneux</w:t>
      </w:r>
      <w:r>
        <w:rPr>
          <w:rFonts w:ascii="Comic Sans MS" w:hAnsi="Comic Sans MS" w:cs="Calibri"/>
          <w:sz w:val="24"/>
          <w:szCs w:val="24"/>
        </w:rPr>
        <w:t xml:space="preserve"> au niveau national surtout que </w:t>
      </w:r>
      <w:r w:rsidR="00F63C36">
        <w:rPr>
          <w:rFonts w:ascii="Comic Sans MS" w:hAnsi="Comic Sans MS" w:cs="Calibri"/>
          <w:sz w:val="24"/>
          <w:szCs w:val="24"/>
        </w:rPr>
        <w:t>d</w:t>
      </w:r>
      <w:r w:rsidR="00111243" w:rsidRPr="00780E4A">
        <w:rPr>
          <w:rFonts w:ascii="Comic Sans MS" w:hAnsi="Comic Sans MS" w:cs="Calibri"/>
          <w:sz w:val="24"/>
          <w:szCs w:val="24"/>
        </w:rPr>
        <w:t>ans certaines sociétés Mauritanienne</w:t>
      </w:r>
      <w:r w:rsidR="002077ED">
        <w:rPr>
          <w:rFonts w:ascii="Comic Sans MS" w:hAnsi="Comic Sans MS" w:cs="Calibri"/>
          <w:sz w:val="24"/>
          <w:szCs w:val="24"/>
        </w:rPr>
        <w:t>s</w:t>
      </w:r>
      <w:r w:rsidR="00111243" w:rsidRPr="00780E4A">
        <w:rPr>
          <w:rFonts w:ascii="Comic Sans MS" w:hAnsi="Comic Sans MS" w:cs="Calibri"/>
          <w:sz w:val="24"/>
          <w:szCs w:val="24"/>
        </w:rPr>
        <w:t xml:space="preserve">, les habitudes culinaires nécessitent des foyers de cuisson adaptés à la grandeur de leurs marmites et des repas. </w:t>
      </w:r>
    </w:p>
    <w:p w14:paraId="3EDE5DD8" w14:textId="77777777" w:rsidR="00F63C36" w:rsidRDefault="00F63C36" w:rsidP="00780E4A">
      <w:pPr>
        <w:spacing w:before="0"/>
        <w:ind w:left="0" w:firstLine="0"/>
        <w:rPr>
          <w:rFonts w:ascii="Comic Sans MS" w:hAnsi="Comic Sans MS" w:cs="Calibri"/>
          <w:sz w:val="24"/>
          <w:szCs w:val="24"/>
        </w:rPr>
      </w:pPr>
    </w:p>
    <w:p w14:paraId="526334C6" w14:textId="3CA983D0" w:rsidR="00111243" w:rsidRDefault="00F63C36" w:rsidP="00F63C36">
      <w:pPr>
        <w:spacing w:before="0"/>
        <w:ind w:left="0" w:firstLine="0"/>
        <w:rPr>
          <w:rFonts w:ascii="Comic Sans MS" w:hAnsi="Comic Sans MS" w:cs="Calibri"/>
          <w:sz w:val="24"/>
          <w:szCs w:val="24"/>
        </w:rPr>
      </w:pPr>
      <w:r>
        <w:rPr>
          <w:rFonts w:ascii="Comic Sans MS" w:hAnsi="Comic Sans MS" w:cs="Calibri"/>
          <w:sz w:val="24"/>
          <w:szCs w:val="24"/>
        </w:rPr>
        <w:t xml:space="preserve">En revanche, </w:t>
      </w:r>
      <w:r w:rsidR="00111243" w:rsidRPr="00780E4A">
        <w:rPr>
          <w:rFonts w:ascii="Comic Sans MS" w:hAnsi="Comic Sans MS" w:cs="Calibri"/>
          <w:sz w:val="24"/>
          <w:szCs w:val="24"/>
        </w:rPr>
        <w:t xml:space="preserve">l’utilisation des combustibles ligneux </w:t>
      </w:r>
      <w:r w:rsidRPr="00780E4A">
        <w:rPr>
          <w:rFonts w:ascii="Comic Sans MS" w:hAnsi="Comic Sans MS" w:cs="Calibri"/>
          <w:sz w:val="24"/>
          <w:szCs w:val="24"/>
        </w:rPr>
        <w:t>produit une grande quantité de fumée et de gaz toxiques ayant un impact négatif sur la santé, car elle provoque des dommages respiratoires, cardiaques et oculaires.</w:t>
      </w:r>
      <w:r>
        <w:rPr>
          <w:rFonts w:ascii="Comic Sans MS" w:hAnsi="Comic Sans MS" w:cs="Calibri"/>
          <w:sz w:val="24"/>
          <w:szCs w:val="24"/>
        </w:rPr>
        <w:t xml:space="preserve"> Également, l</w:t>
      </w:r>
      <w:r w:rsidR="00111243" w:rsidRPr="00780E4A">
        <w:rPr>
          <w:rFonts w:ascii="Comic Sans MS" w:hAnsi="Comic Sans MS" w:cs="Calibri"/>
          <w:sz w:val="24"/>
          <w:szCs w:val="24"/>
        </w:rPr>
        <w:t>e ramassage du bois mort constitue un fardeau pour les ménages pauvres</w:t>
      </w:r>
      <w:r>
        <w:rPr>
          <w:rFonts w:ascii="Comic Sans MS" w:hAnsi="Comic Sans MS" w:cs="Calibri"/>
          <w:sz w:val="24"/>
          <w:szCs w:val="24"/>
        </w:rPr>
        <w:t xml:space="preserve"> en particulier l</w:t>
      </w:r>
      <w:r w:rsidR="00111243" w:rsidRPr="00780E4A">
        <w:rPr>
          <w:rFonts w:ascii="Comic Sans MS" w:hAnsi="Comic Sans MS" w:cs="Calibri"/>
          <w:sz w:val="24"/>
          <w:szCs w:val="24"/>
        </w:rPr>
        <w:t>es femmes et les enfants</w:t>
      </w:r>
      <w:r>
        <w:rPr>
          <w:rFonts w:ascii="Comic Sans MS" w:hAnsi="Comic Sans MS" w:cs="Calibri"/>
          <w:sz w:val="24"/>
          <w:szCs w:val="24"/>
        </w:rPr>
        <w:t xml:space="preserve"> qui</w:t>
      </w:r>
      <w:r w:rsidR="00111243" w:rsidRPr="00780E4A">
        <w:rPr>
          <w:rFonts w:ascii="Comic Sans MS" w:hAnsi="Comic Sans MS" w:cs="Calibri"/>
          <w:sz w:val="24"/>
          <w:szCs w:val="24"/>
        </w:rPr>
        <w:t xml:space="preserve"> consacrent beaucoup de temps pour </w:t>
      </w:r>
      <w:r>
        <w:rPr>
          <w:rFonts w:ascii="Comic Sans MS" w:hAnsi="Comic Sans MS" w:cs="Calibri"/>
          <w:sz w:val="24"/>
          <w:szCs w:val="24"/>
        </w:rPr>
        <w:t>s</w:t>
      </w:r>
      <w:r w:rsidR="00111243" w:rsidRPr="00780E4A">
        <w:rPr>
          <w:rFonts w:ascii="Comic Sans MS" w:hAnsi="Comic Sans MS" w:cs="Calibri"/>
          <w:sz w:val="24"/>
          <w:szCs w:val="24"/>
        </w:rPr>
        <w:t xml:space="preserve">a collecte en brousse et parfois sur de longues distances.  </w:t>
      </w:r>
    </w:p>
    <w:p w14:paraId="08789825" w14:textId="77777777" w:rsidR="00F63C36" w:rsidRPr="00780E4A" w:rsidRDefault="00F63C36" w:rsidP="00F63C36">
      <w:pPr>
        <w:spacing w:before="0"/>
        <w:ind w:left="0" w:firstLine="0"/>
        <w:rPr>
          <w:rFonts w:ascii="Comic Sans MS" w:hAnsi="Comic Sans MS" w:cs="Calibri"/>
          <w:sz w:val="24"/>
          <w:szCs w:val="24"/>
        </w:rPr>
      </w:pPr>
    </w:p>
    <w:p w14:paraId="28D05D5C" w14:textId="5AA01A2F" w:rsidR="00111243" w:rsidRPr="00F60CA2" w:rsidRDefault="00F60CA2" w:rsidP="00F60CA2">
      <w:pPr>
        <w:spacing w:before="0"/>
        <w:ind w:left="0" w:firstLine="0"/>
        <w:rPr>
          <w:rFonts w:ascii="Comic Sans MS" w:hAnsi="Comic Sans MS" w:cs="Calibri"/>
          <w:sz w:val="24"/>
          <w:szCs w:val="24"/>
        </w:rPr>
      </w:pPr>
      <w:r>
        <w:rPr>
          <w:rFonts w:ascii="Comic Sans MS" w:hAnsi="Comic Sans MS" w:cs="Calibri"/>
          <w:sz w:val="24"/>
          <w:szCs w:val="24"/>
        </w:rPr>
        <w:t>D</w:t>
      </w:r>
      <w:r w:rsidRPr="00F60CA2">
        <w:rPr>
          <w:rFonts w:ascii="Comic Sans MS" w:hAnsi="Comic Sans MS" w:cs="Calibri"/>
          <w:sz w:val="24"/>
          <w:szCs w:val="24"/>
        </w:rPr>
        <w:t>epuis 1987</w:t>
      </w:r>
      <w:r>
        <w:rPr>
          <w:rFonts w:ascii="Comic Sans MS" w:hAnsi="Comic Sans MS" w:cs="Calibri"/>
          <w:sz w:val="24"/>
          <w:szCs w:val="24"/>
        </w:rPr>
        <w:t xml:space="preserve">, l’usage du gaz butane </w:t>
      </w:r>
      <w:r w:rsidR="002329CF" w:rsidRPr="00F60CA2">
        <w:rPr>
          <w:rFonts w:ascii="Comic Sans MS" w:hAnsi="Comic Sans MS" w:cs="Calibri"/>
          <w:sz w:val="24"/>
          <w:szCs w:val="24"/>
        </w:rPr>
        <w:t>par les ménages</w:t>
      </w:r>
      <w:r w:rsidR="002329CF">
        <w:rPr>
          <w:rFonts w:ascii="Comic Sans MS" w:hAnsi="Comic Sans MS" w:cs="Calibri"/>
          <w:sz w:val="24"/>
          <w:szCs w:val="24"/>
        </w:rPr>
        <w:t xml:space="preserve"> </w:t>
      </w:r>
      <w:r>
        <w:rPr>
          <w:rFonts w:ascii="Comic Sans MS" w:hAnsi="Comic Sans MS" w:cs="Calibri"/>
          <w:sz w:val="24"/>
          <w:szCs w:val="24"/>
        </w:rPr>
        <w:t xml:space="preserve">comme une énergie de </w:t>
      </w:r>
      <w:r w:rsidR="00111243" w:rsidRPr="00F60CA2">
        <w:rPr>
          <w:rFonts w:ascii="Comic Sans MS" w:hAnsi="Comic Sans MS" w:cs="Calibri"/>
          <w:sz w:val="24"/>
          <w:szCs w:val="24"/>
        </w:rPr>
        <w:t xml:space="preserve">substitution </w:t>
      </w:r>
      <w:r>
        <w:rPr>
          <w:rFonts w:ascii="Comic Sans MS" w:hAnsi="Comic Sans MS" w:cs="Calibri"/>
          <w:sz w:val="24"/>
          <w:szCs w:val="24"/>
        </w:rPr>
        <w:t xml:space="preserve">aux </w:t>
      </w:r>
      <w:r w:rsidR="00111243" w:rsidRPr="00F60CA2">
        <w:rPr>
          <w:rFonts w:ascii="Comic Sans MS" w:hAnsi="Comic Sans MS" w:cs="Calibri"/>
          <w:sz w:val="24"/>
          <w:szCs w:val="24"/>
        </w:rPr>
        <w:t>combustibles ligneux</w:t>
      </w:r>
      <w:r>
        <w:rPr>
          <w:rFonts w:ascii="Comic Sans MS" w:hAnsi="Comic Sans MS" w:cs="Calibri"/>
          <w:sz w:val="24"/>
          <w:szCs w:val="24"/>
        </w:rPr>
        <w:t>,</w:t>
      </w:r>
      <w:r w:rsidR="00111243" w:rsidRPr="00F60CA2">
        <w:rPr>
          <w:rFonts w:ascii="Comic Sans MS" w:hAnsi="Comic Sans MS" w:cs="Calibri"/>
          <w:sz w:val="24"/>
          <w:szCs w:val="24"/>
        </w:rPr>
        <w:t xml:space="preserve"> </w:t>
      </w:r>
      <w:r>
        <w:rPr>
          <w:rFonts w:ascii="Comic Sans MS" w:hAnsi="Comic Sans MS" w:cs="Calibri"/>
          <w:sz w:val="24"/>
          <w:szCs w:val="24"/>
        </w:rPr>
        <w:t xml:space="preserve">a connu une très </w:t>
      </w:r>
      <w:r w:rsidR="002077ED">
        <w:rPr>
          <w:rFonts w:ascii="Comic Sans MS" w:hAnsi="Comic Sans MS" w:cs="Calibri"/>
          <w:sz w:val="24"/>
          <w:szCs w:val="24"/>
        </w:rPr>
        <w:t xml:space="preserve">grande </w:t>
      </w:r>
      <w:r>
        <w:rPr>
          <w:rFonts w:ascii="Comic Sans MS" w:hAnsi="Comic Sans MS" w:cs="Calibri"/>
          <w:sz w:val="24"/>
          <w:szCs w:val="24"/>
        </w:rPr>
        <w:t>augmentation</w:t>
      </w:r>
      <w:r w:rsidR="00111243" w:rsidRPr="00F60CA2">
        <w:rPr>
          <w:rFonts w:ascii="Comic Sans MS" w:hAnsi="Comic Sans MS" w:cs="Calibri"/>
          <w:sz w:val="24"/>
          <w:szCs w:val="24"/>
        </w:rPr>
        <w:t>. Ce</w:t>
      </w:r>
      <w:r>
        <w:rPr>
          <w:rFonts w:ascii="Comic Sans MS" w:hAnsi="Comic Sans MS" w:cs="Calibri"/>
          <w:sz w:val="24"/>
          <w:szCs w:val="24"/>
        </w:rPr>
        <w:t xml:space="preserve"> changement </w:t>
      </w:r>
      <w:r w:rsidR="00111243" w:rsidRPr="00F60CA2">
        <w:rPr>
          <w:rFonts w:ascii="Comic Sans MS" w:hAnsi="Comic Sans MS" w:cs="Calibri"/>
          <w:sz w:val="24"/>
          <w:szCs w:val="24"/>
        </w:rPr>
        <w:t xml:space="preserve">peut être attribuée aux grands efforts fournis par l’Etat surtout à travers la politique de brutalisation basée sur : (i) la privatisation de l’importation, le stockage, l’enfûtage et la distribution du gaz butane et (ii) la subvention annuelle de prix du gaz butane par le budget de l’Etat. Ladite politique a permis d’augmenter l’offre en gaz butane </w:t>
      </w:r>
      <w:r w:rsidR="002077ED">
        <w:rPr>
          <w:rFonts w:ascii="Comic Sans MS" w:hAnsi="Comic Sans MS" w:cs="Calibri"/>
          <w:sz w:val="24"/>
          <w:szCs w:val="24"/>
        </w:rPr>
        <w:t xml:space="preserve">et </w:t>
      </w:r>
      <w:r w:rsidR="00111243" w:rsidRPr="00F60CA2">
        <w:rPr>
          <w:rFonts w:ascii="Comic Sans MS" w:hAnsi="Comic Sans MS" w:cs="Calibri"/>
          <w:sz w:val="24"/>
          <w:szCs w:val="24"/>
        </w:rPr>
        <w:t xml:space="preserve">une large distribution de cette énergie alternative aux combustibles ligneux sur le territoire national via les sociétés nationales spécialisées dans ce domaine en particulier le chef de file, la Société Mauritanienne de Gaz (SOMAGAZ créée en 1987), BSA Gaz/MAURIGAZ, STAR Gaz, et RIMGAZ. Malgré ces efforts louables entamés par l’Etat depuis la fin des année 80, les </w:t>
      </w:r>
      <w:r w:rsidR="002329CF">
        <w:rPr>
          <w:rFonts w:ascii="Comic Sans MS" w:hAnsi="Comic Sans MS" w:cs="Calibri"/>
          <w:sz w:val="24"/>
          <w:szCs w:val="24"/>
        </w:rPr>
        <w:t>s</w:t>
      </w:r>
      <w:r w:rsidR="00111243" w:rsidRPr="00F60CA2">
        <w:rPr>
          <w:rFonts w:ascii="Comic Sans MS" w:hAnsi="Comic Sans MS" w:cs="Calibri"/>
          <w:sz w:val="24"/>
          <w:szCs w:val="24"/>
        </w:rPr>
        <w:t>ociétés chargées de la commercialisation du gaz butane sur toute l’étendue du territoire national n’ont pu couvrir qu’environ 50% de la demande nationale en énergie domestique</w:t>
      </w:r>
      <w:r w:rsidR="002077ED">
        <w:rPr>
          <w:rFonts w:ascii="Comic Sans MS" w:hAnsi="Comic Sans MS" w:cs="Calibri"/>
          <w:sz w:val="24"/>
          <w:szCs w:val="24"/>
        </w:rPr>
        <w:t xml:space="preserve"> de cuisson</w:t>
      </w:r>
      <w:r w:rsidR="00111243" w:rsidRPr="00F60CA2">
        <w:rPr>
          <w:rFonts w:ascii="Comic Sans MS" w:hAnsi="Comic Sans MS" w:cs="Calibri"/>
          <w:sz w:val="24"/>
          <w:szCs w:val="24"/>
        </w:rPr>
        <w:t xml:space="preserve">. Cette situation s’explique par les capacités limitées de stockage et d’enfûtage desdites Sociétés nationales d’une part et compte tenu de l’évolution rapide de la demande en énergie domestique d’autre part. </w:t>
      </w:r>
    </w:p>
    <w:p w14:paraId="5C9A5E8C" w14:textId="77777777" w:rsidR="00111243" w:rsidRPr="002329CF" w:rsidRDefault="00111243" w:rsidP="002329CF">
      <w:pPr>
        <w:spacing w:before="0"/>
        <w:ind w:left="0" w:firstLine="0"/>
        <w:rPr>
          <w:rFonts w:ascii="Comic Sans MS" w:hAnsi="Comic Sans MS" w:cs="Calibri"/>
          <w:sz w:val="24"/>
          <w:szCs w:val="24"/>
        </w:rPr>
      </w:pPr>
    </w:p>
    <w:p w14:paraId="292A1B2E" w14:textId="33E89E8B" w:rsidR="00111243" w:rsidRPr="002329CF" w:rsidRDefault="00111243" w:rsidP="002329CF">
      <w:pPr>
        <w:spacing w:before="0"/>
        <w:ind w:left="0" w:firstLine="0"/>
        <w:rPr>
          <w:rFonts w:ascii="Comic Sans MS" w:hAnsi="Comic Sans MS" w:cs="Calibri"/>
          <w:sz w:val="24"/>
          <w:szCs w:val="24"/>
        </w:rPr>
      </w:pPr>
      <w:r w:rsidRPr="002329CF">
        <w:rPr>
          <w:rFonts w:ascii="Comic Sans MS" w:hAnsi="Comic Sans MS" w:cs="Calibri"/>
          <w:sz w:val="24"/>
          <w:szCs w:val="24"/>
        </w:rPr>
        <w:t>Pour ce qui est d</w:t>
      </w:r>
      <w:r w:rsidR="002329CF">
        <w:rPr>
          <w:rFonts w:ascii="Comic Sans MS" w:hAnsi="Comic Sans MS" w:cs="Calibri"/>
          <w:sz w:val="24"/>
          <w:szCs w:val="24"/>
        </w:rPr>
        <w:t>e l’utilisation d</w:t>
      </w:r>
      <w:r w:rsidRPr="002329CF">
        <w:rPr>
          <w:rFonts w:ascii="Comic Sans MS" w:hAnsi="Comic Sans MS" w:cs="Calibri"/>
          <w:sz w:val="24"/>
          <w:szCs w:val="24"/>
        </w:rPr>
        <w:t xml:space="preserve">u pétrole lampant, </w:t>
      </w:r>
      <w:r w:rsidR="002329CF">
        <w:rPr>
          <w:rFonts w:ascii="Comic Sans MS" w:hAnsi="Comic Sans MS" w:cs="Calibri"/>
          <w:sz w:val="24"/>
          <w:szCs w:val="24"/>
        </w:rPr>
        <w:t xml:space="preserve">elle </w:t>
      </w:r>
      <w:r w:rsidRPr="002329CF">
        <w:rPr>
          <w:rFonts w:ascii="Comic Sans MS" w:hAnsi="Comic Sans MS" w:cs="Calibri"/>
          <w:sz w:val="24"/>
          <w:szCs w:val="24"/>
        </w:rPr>
        <w:t xml:space="preserve">a connu une nette réduction </w:t>
      </w:r>
      <w:r w:rsidR="00A942C0" w:rsidRPr="002329CF">
        <w:rPr>
          <w:rFonts w:ascii="Comic Sans MS" w:hAnsi="Comic Sans MS" w:cs="Calibri"/>
          <w:sz w:val="24"/>
          <w:szCs w:val="24"/>
        </w:rPr>
        <w:t>à la suite de</w:t>
      </w:r>
      <w:r w:rsidRPr="002329CF">
        <w:rPr>
          <w:rFonts w:ascii="Comic Sans MS" w:hAnsi="Comic Sans MS" w:cs="Calibri"/>
          <w:sz w:val="24"/>
          <w:szCs w:val="24"/>
        </w:rPr>
        <w:t xml:space="preserve"> l’évolution </w:t>
      </w:r>
      <w:r w:rsidR="002329CF">
        <w:rPr>
          <w:rFonts w:ascii="Comic Sans MS" w:hAnsi="Comic Sans MS" w:cs="Calibri"/>
          <w:sz w:val="24"/>
          <w:szCs w:val="24"/>
        </w:rPr>
        <w:t xml:space="preserve">des énergies alternatives </w:t>
      </w:r>
      <w:r w:rsidR="002329CF" w:rsidRPr="002329CF">
        <w:rPr>
          <w:rFonts w:ascii="Comic Sans MS" w:hAnsi="Comic Sans MS" w:cs="Calibri"/>
          <w:sz w:val="24"/>
          <w:szCs w:val="24"/>
        </w:rPr>
        <w:t>pour</w:t>
      </w:r>
      <w:r w:rsidR="002329CF">
        <w:rPr>
          <w:rFonts w:ascii="Comic Sans MS" w:hAnsi="Comic Sans MS" w:cs="Calibri"/>
          <w:sz w:val="24"/>
          <w:szCs w:val="24"/>
        </w:rPr>
        <w:t xml:space="preserve"> </w:t>
      </w:r>
      <w:r w:rsidRPr="002329CF">
        <w:rPr>
          <w:rFonts w:ascii="Comic Sans MS" w:hAnsi="Comic Sans MS" w:cs="Calibri"/>
          <w:sz w:val="24"/>
          <w:szCs w:val="24"/>
        </w:rPr>
        <w:t xml:space="preserve">l’électrification </w:t>
      </w:r>
      <w:r w:rsidR="002329CF">
        <w:rPr>
          <w:rFonts w:ascii="Comic Sans MS" w:hAnsi="Comic Sans MS" w:cs="Calibri"/>
          <w:sz w:val="24"/>
          <w:szCs w:val="24"/>
        </w:rPr>
        <w:t xml:space="preserve">telles que les énergies </w:t>
      </w:r>
      <w:r w:rsidRPr="002329CF">
        <w:rPr>
          <w:rFonts w:ascii="Comic Sans MS" w:hAnsi="Comic Sans MS" w:cs="Calibri"/>
          <w:sz w:val="24"/>
          <w:szCs w:val="24"/>
        </w:rPr>
        <w:t>photovoltaïque</w:t>
      </w:r>
      <w:r w:rsidR="002329CF">
        <w:rPr>
          <w:rFonts w:ascii="Comic Sans MS" w:hAnsi="Comic Sans MS" w:cs="Calibri"/>
          <w:sz w:val="24"/>
          <w:szCs w:val="24"/>
        </w:rPr>
        <w:t xml:space="preserve">, </w:t>
      </w:r>
      <w:r w:rsidRPr="002329CF">
        <w:rPr>
          <w:rFonts w:ascii="Comic Sans MS" w:hAnsi="Comic Sans MS" w:cs="Calibri"/>
          <w:sz w:val="24"/>
          <w:szCs w:val="24"/>
        </w:rPr>
        <w:t>bougies et lampes électriques. Néanmoins, le pétrole</w:t>
      </w:r>
      <w:r w:rsidRPr="00A942C0">
        <w:rPr>
          <w:rFonts w:ascii="Comic Sans MS" w:hAnsi="Comic Sans MS" w:cs="Calibri"/>
          <w:sz w:val="24"/>
          <w:szCs w:val="24"/>
        </w:rPr>
        <w:t xml:space="preserve"> </w:t>
      </w:r>
      <w:r w:rsidR="002329CF" w:rsidRPr="002329CF">
        <w:rPr>
          <w:rFonts w:ascii="Comic Sans MS" w:hAnsi="Comic Sans MS" w:cs="Calibri"/>
          <w:sz w:val="24"/>
          <w:szCs w:val="24"/>
        </w:rPr>
        <w:t>(kérosène)</w:t>
      </w:r>
      <w:r w:rsidR="002329CF" w:rsidRPr="00A942C0">
        <w:rPr>
          <w:rFonts w:ascii="Comic Sans MS" w:hAnsi="Comic Sans MS" w:cs="Calibri"/>
          <w:sz w:val="24"/>
          <w:szCs w:val="24"/>
        </w:rPr>
        <w:t xml:space="preserve"> e</w:t>
      </w:r>
      <w:r w:rsidRPr="00A942C0">
        <w:rPr>
          <w:rFonts w:ascii="Comic Sans MS" w:hAnsi="Comic Sans MS" w:cs="Calibri"/>
          <w:sz w:val="24"/>
          <w:szCs w:val="24"/>
        </w:rPr>
        <w:t xml:space="preserve">st encore </w:t>
      </w:r>
      <w:r w:rsidRPr="002329CF">
        <w:rPr>
          <w:rFonts w:ascii="Comic Sans MS" w:hAnsi="Comic Sans MS" w:cs="Calibri"/>
          <w:sz w:val="24"/>
          <w:szCs w:val="24"/>
        </w:rPr>
        <w:lastRenderedPageBreak/>
        <w:t>utilisé dans les travaux routiers tels que l’émulsification d’asphalte et parfois mélangé à d’autres produits comme diluant ainsi que pour le nettoyage.</w:t>
      </w:r>
    </w:p>
    <w:p w14:paraId="4F618EAC" w14:textId="77777777" w:rsidR="00111243" w:rsidRPr="00A942C0" w:rsidRDefault="00111243" w:rsidP="00A942C0">
      <w:pPr>
        <w:spacing w:before="0"/>
        <w:ind w:left="0" w:firstLine="0"/>
        <w:rPr>
          <w:rFonts w:ascii="Comic Sans MS" w:hAnsi="Comic Sans MS" w:cs="Calibri"/>
          <w:sz w:val="24"/>
          <w:szCs w:val="24"/>
        </w:rPr>
      </w:pPr>
    </w:p>
    <w:p w14:paraId="6CAB49F4" w14:textId="7E1AD4DF" w:rsidR="00111243" w:rsidRPr="00A942C0" w:rsidRDefault="00A942C0" w:rsidP="00A942C0">
      <w:pPr>
        <w:spacing w:before="0"/>
        <w:ind w:left="0" w:firstLine="0"/>
        <w:rPr>
          <w:rFonts w:ascii="Comic Sans MS" w:hAnsi="Comic Sans MS" w:cs="Calibri"/>
          <w:sz w:val="24"/>
          <w:szCs w:val="24"/>
        </w:rPr>
      </w:pPr>
      <w:r>
        <w:rPr>
          <w:rFonts w:ascii="Comic Sans MS" w:hAnsi="Comic Sans MS" w:cs="Calibri"/>
          <w:sz w:val="24"/>
          <w:szCs w:val="24"/>
        </w:rPr>
        <w:t xml:space="preserve">On signale que </w:t>
      </w:r>
      <w:r w:rsidR="00111243" w:rsidRPr="00A942C0">
        <w:rPr>
          <w:rFonts w:ascii="Comic Sans MS" w:hAnsi="Comic Sans MS" w:cs="Calibri"/>
          <w:sz w:val="24"/>
          <w:szCs w:val="24"/>
        </w:rPr>
        <w:t>l</w:t>
      </w:r>
      <w:r>
        <w:rPr>
          <w:rFonts w:ascii="Comic Sans MS" w:hAnsi="Comic Sans MS" w:cs="Calibri"/>
          <w:sz w:val="24"/>
          <w:szCs w:val="24"/>
        </w:rPr>
        <w:t xml:space="preserve">es expériences nationales dans le domaine de la </w:t>
      </w:r>
      <w:r w:rsidR="00111243" w:rsidRPr="00A942C0">
        <w:rPr>
          <w:rFonts w:ascii="Comic Sans MS" w:hAnsi="Comic Sans MS" w:cs="Calibri"/>
          <w:sz w:val="24"/>
          <w:szCs w:val="24"/>
        </w:rPr>
        <w:t>promotion d</w:t>
      </w:r>
      <w:r>
        <w:rPr>
          <w:rFonts w:ascii="Comic Sans MS" w:hAnsi="Comic Sans MS" w:cs="Calibri"/>
          <w:sz w:val="24"/>
          <w:szCs w:val="24"/>
        </w:rPr>
        <w:t xml:space="preserve">e certaines </w:t>
      </w:r>
      <w:r w:rsidR="00111243" w:rsidRPr="00A942C0">
        <w:rPr>
          <w:rFonts w:ascii="Comic Sans MS" w:hAnsi="Comic Sans MS" w:cs="Calibri"/>
          <w:sz w:val="24"/>
          <w:szCs w:val="24"/>
        </w:rPr>
        <w:t xml:space="preserve">énergies alternatives (solaire, bio-charbon et biogaz) aux combustibles ligneux et </w:t>
      </w:r>
      <w:r>
        <w:rPr>
          <w:rFonts w:ascii="Comic Sans MS" w:hAnsi="Comic Sans MS" w:cs="Calibri"/>
          <w:sz w:val="24"/>
          <w:szCs w:val="24"/>
        </w:rPr>
        <w:t>d</w:t>
      </w:r>
      <w:r w:rsidR="00111243" w:rsidRPr="00A942C0">
        <w:rPr>
          <w:rFonts w:ascii="Comic Sans MS" w:hAnsi="Comic Sans MS" w:cs="Calibri"/>
          <w:sz w:val="24"/>
          <w:szCs w:val="24"/>
        </w:rPr>
        <w:t xml:space="preserve">es techniques de rationalisation de la consommation du charbon (foyers améliorés) n’ont pas donné les résultats escomptés pour des raisons principalement socioéconomiques et techniques. </w:t>
      </w:r>
    </w:p>
    <w:p w14:paraId="78B53A37" w14:textId="77777777" w:rsidR="00D11650" w:rsidRPr="009F25CF" w:rsidRDefault="00D11650" w:rsidP="000F16BD">
      <w:pPr>
        <w:spacing w:before="0"/>
        <w:ind w:left="0" w:firstLine="0"/>
        <w:rPr>
          <w:rFonts w:ascii="Comic Sans MS" w:hAnsi="Comic Sans MS" w:cstheme="minorHAnsi"/>
          <w:sz w:val="24"/>
          <w:szCs w:val="24"/>
        </w:rPr>
      </w:pPr>
    </w:p>
    <w:p w14:paraId="12E06B12" w14:textId="77777777" w:rsidR="00AE31C4" w:rsidRPr="009F25CF" w:rsidRDefault="00AE31C4" w:rsidP="000F16BD">
      <w:pPr>
        <w:spacing w:before="0"/>
        <w:ind w:left="0" w:firstLine="0"/>
        <w:rPr>
          <w:rFonts w:ascii="Comic Sans MS" w:hAnsi="Comic Sans MS" w:cstheme="minorHAnsi"/>
          <w:sz w:val="24"/>
          <w:szCs w:val="24"/>
        </w:rPr>
      </w:pPr>
    </w:p>
    <w:p w14:paraId="50D80199" w14:textId="2E32FE17" w:rsidR="00B40152" w:rsidRPr="009F25CF" w:rsidRDefault="00B10BA6">
      <w:pPr>
        <w:pStyle w:val="Titre1"/>
        <w:numPr>
          <w:ilvl w:val="0"/>
          <w:numId w:val="4"/>
        </w:numPr>
        <w:bidi w:val="0"/>
        <w:spacing w:before="0"/>
        <w:ind w:left="426" w:hanging="426"/>
        <w:jc w:val="left"/>
        <w:rPr>
          <w:rFonts w:ascii="Comic Sans MS" w:hAnsi="Comic Sans MS" w:cstheme="minorHAnsi"/>
          <w:sz w:val="24"/>
          <w:szCs w:val="24"/>
          <w:lang w:val="fr-FR"/>
        </w:rPr>
      </w:pPr>
      <w:bookmarkStart w:id="21" w:name="_Toc166937615"/>
      <w:r w:rsidRPr="009F25CF">
        <w:rPr>
          <w:rFonts w:ascii="Comic Sans MS" w:hAnsi="Comic Sans MS" w:cstheme="minorHAnsi"/>
          <w:sz w:val="24"/>
          <w:szCs w:val="24"/>
          <w:lang w:val="fr-FR"/>
        </w:rPr>
        <w:t xml:space="preserve">MESURES D’ATTÉNUATION </w:t>
      </w:r>
      <w:r w:rsidR="00AE31C4" w:rsidRPr="009F25CF">
        <w:rPr>
          <w:rFonts w:ascii="Comic Sans MS" w:hAnsi="Comic Sans MS" w:cstheme="minorHAnsi"/>
          <w:sz w:val="24"/>
          <w:szCs w:val="24"/>
          <w:lang w:val="fr-FR"/>
        </w:rPr>
        <w:t xml:space="preserve">DU SOUS-SECTEUR </w:t>
      </w:r>
      <w:r w:rsidR="00334A2D">
        <w:rPr>
          <w:rFonts w:ascii="Comic Sans MS" w:hAnsi="Comic Sans MS" w:cstheme="minorHAnsi"/>
          <w:sz w:val="24"/>
          <w:szCs w:val="24"/>
          <w:lang w:val="fr-FR"/>
        </w:rPr>
        <w:t>ENERGIES RESIDENTIELLES</w:t>
      </w:r>
      <w:bookmarkEnd w:id="21"/>
    </w:p>
    <w:p w14:paraId="071B6821" w14:textId="17328413" w:rsidR="00AE31C4" w:rsidRPr="009F25CF" w:rsidRDefault="00AE31C4" w:rsidP="00963683">
      <w:pPr>
        <w:spacing w:before="0"/>
        <w:ind w:left="0" w:firstLine="0"/>
        <w:rPr>
          <w:rFonts w:ascii="Comic Sans MS" w:hAnsi="Comic Sans MS" w:cstheme="minorHAnsi"/>
          <w:sz w:val="24"/>
          <w:szCs w:val="24"/>
        </w:rPr>
      </w:pPr>
      <w:r w:rsidRPr="009F25CF">
        <w:rPr>
          <w:rFonts w:ascii="Comic Sans MS" w:hAnsi="Comic Sans MS" w:cstheme="minorHAnsi"/>
          <w:sz w:val="24"/>
          <w:szCs w:val="24"/>
        </w:rPr>
        <w:t xml:space="preserve">Les mesures d’atténuation des émissions des GES du </w:t>
      </w:r>
      <w:r w:rsidR="0003598A" w:rsidRPr="009F25CF">
        <w:rPr>
          <w:rFonts w:ascii="Comic Sans MS" w:hAnsi="Comic Sans MS" w:cstheme="minorHAnsi"/>
          <w:sz w:val="24"/>
          <w:szCs w:val="24"/>
        </w:rPr>
        <w:t>sous-s</w:t>
      </w:r>
      <w:r w:rsidRPr="009F25CF">
        <w:rPr>
          <w:rFonts w:ascii="Comic Sans MS" w:hAnsi="Comic Sans MS" w:cstheme="minorHAnsi"/>
          <w:sz w:val="24"/>
          <w:szCs w:val="24"/>
        </w:rPr>
        <w:t xml:space="preserve">ecteur </w:t>
      </w:r>
      <w:r w:rsidR="00334A2D">
        <w:rPr>
          <w:rFonts w:ascii="Comic Sans MS" w:hAnsi="Comic Sans MS" w:cstheme="minorHAnsi"/>
          <w:sz w:val="24"/>
          <w:szCs w:val="24"/>
        </w:rPr>
        <w:t>énergies résidentielles</w:t>
      </w:r>
      <w:r w:rsidR="00655774">
        <w:rPr>
          <w:rFonts w:ascii="Comic Sans MS" w:hAnsi="Comic Sans MS" w:cstheme="minorHAnsi"/>
          <w:sz w:val="24"/>
          <w:szCs w:val="24"/>
        </w:rPr>
        <w:t>,</w:t>
      </w:r>
      <w:r w:rsidR="00963683" w:rsidRPr="009F25CF">
        <w:rPr>
          <w:rFonts w:ascii="Comic Sans MS" w:hAnsi="Comic Sans MS" w:cstheme="minorHAnsi"/>
          <w:sz w:val="24"/>
          <w:szCs w:val="24"/>
        </w:rPr>
        <w:t xml:space="preserve"> ont été inventoriés </w:t>
      </w:r>
      <w:r w:rsidR="000E173A" w:rsidRPr="009F25CF">
        <w:rPr>
          <w:rFonts w:ascii="Comic Sans MS" w:hAnsi="Comic Sans MS" w:cstheme="minorHAnsi"/>
          <w:sz w:val="24"/>
          <w:szCs w:val="24"/>
        </w:rPr>
        <w:t>parmi</w:t>
      </w:r>
      <w:r w:rsidR="00963683" w:rsidRPr="009F25CF">
        <w:rPr>
          <w:rFonts w:ascii="Comic Sans MS" w:hAnsi="Comic Sans MS" w:cstheme="minorHAnsi"/>
          <w:sz w:val="24"/>
          <w:szCs w:val="24"/>
        </w:rPr>
        <w:t xml:space="preserve"> les différentes </w:t>
      </w:r>
      <w:r w:rsidR="00655774">
        <w:rPr>
          <w:rFonts w:ascii="Comic Sans MS" w:hAnsi="Comic Sans MS" w:cstheme="minorHAnsi"/>
          <w:sz w:val="24"/>
          <w:szCs w:val="24"/>
        </w:rPr>
        <w:t>politiques et stratégies</w:t>
      </w:r>
      <w:r w:rsidRPr="009F25CF">
        <w:rPr>
          <w:rFonts w:ascii="Comic Sans MS" w:hAnsi="Comic Sans MS" w:cstheme="minorHAnsi"/>
          <w:sz w:val="24"/>
          <w:szCs w:val="24"/>
        </w:rPr>
        <w:t xml:space="preserve"> </w:t>
      </w:r>
      <w:r w:rsidR="00655774" w:rsidRPr="009F25CF">
        <w:rPr>
          <w:rFonts w:ascii="Comic Sans MS" w:hAnsi="Comic Sans MS" w:cstheme="minorHAnsi"/>
          <w:sz w:val="24"/>
          <w:szCs w:val="24"/>
        </w:rPr>
        <w:t xml:space="preserve">mise en œuvre, en cours de mise en œuvre et planifiés </w:t>
      </w:r>
      <w:r w:rsidR="00655774">
        <w:rPr>
          <w:rFonts w:ascii="Comic Sans MS" w:hAnsi="Comic Sans MS" w:cstheme="minorHAnsi"/>
          <w:sz w:val="24"/>
          <w:szCs w:val="24"/>
        </w:rPr>
        <w:t xml:space="preserve">au niveau national. </w:t>
      </w:r>
      <w:r w:rsidR="00655774" w:rsidRPr="009F25CF">
        <w:rPr>
          <w:rFonts w:ascii="Comic Sans MS" w:hAnsi="Comic Sans MS" w:cstheme="minorHAnsi"/>
          <w:sz w:val="24"/>
          <w:szCs w:val="24"/>
        </w:rPr>
        <w:t xml:space="preserve">Elles </w:t>
      </w:r>
      <w:r w:rsidR="00655774">
        <w:rPr>
          <w:rFonts w:ascii="Comic Sans MS" w:hAnsi="Comic Sans MS" w:cstheme="minorHAnsi"/>
          <w:sz w:val="24"/>
          <w:szCs w:val="24"/>
        </w:rPr>
        <w:t>sont l</w:t>
      </w:r>
      <w:r w:rsidR="00655774" w:rsidRPr="009F25CF">
        <w:rPr>
          <w:rFonts w:ascii="Comic Sans MS" w:hAnsi="Comic Sans MS" w:cstheme="minorHAnsi"/>
          <w:sz w:val="24"/>
          <w:szCs w:val="24"/>
        </w:rPr>
        <w:t>es mesures d’atténuation d’ordres politiques, socio-économiques, réglementaires et institutionnelles</w:t>
      </w:r>
      <w:r w:rsidR="00655774">
        <w:rPr>
          <w:rFonts w:ascii="Comic Sans MS" w:hAnsi="Comic Sans MS" w:cstheme="minorHAnsi"/>
          <w:sz w:val="24"/>
          <w:szCs w:val="24"/>
        </w:rPr>
        <w:t xml:space="preserve"> qui </w:t>
      </w:r>
      <w:r w:rsidR="00655774" w:rsidRPr="009F25CF">
        <w:rPr>
          <w:rFonts w:ascii="Comic Sans MS" w:hAnsi="Comic Sans MS" w:cstheme="minorHAnsi"/>
          <w:sz w:val="24"/>
          <w:szCs w:val="24"/>
        </w:rPr>
        <w:t>contribuent directement ou indirectement à la réduction d’émission des GES</w:t>
      </w:r>
      <w:r w:rsidRPr="009F25CF">
        <w:rPr>
          <w:rFonts w:ascii="Comic Sans MS" w:hAnsi="Comic Sans MS" w:cstheme="minorHAnsi"/>
          <w:sz w:val="24"/>
          <w:szCs w:val="24"/>
        </w:rPr>
        <w:t>.</w:t>
      </w:r>
    </w:p>
    <w:p w14:paraId="149EBA13" w14:textId="77777777" w:rsidR="00AE31C4" w:rsidRPr="009F25CF" w:rsidRDefault="00AE31C4" w:rsidP="00AE31C4">
      <w:pPr>
        <w:rPr>
          <w:rFonts w:ascii="Comic Sans MS" w:hAnsi="Comic Sans MS" w:cstheme="minorHAnsi"/>
          <w:sz w:val="24"/>
          <w:szCs w:val="24"/>
          <w:lang w:eastAsia="ja-JP"/>
        </w:rPr>
      </w:pPr>
    </w:p>
    <w:p w14:paraId="09C225EC" w14:textId="33CC18EF" w:rsidR="00B40152" w:rsidRPr="009F25CF" w:rsidRDefault="00DD3907">
      <w:pPr>
        <w:pStyle w:val="Titre1"/>
        <w:numPr>
          <w:ilvl w:val="1"/>
          <w:numId w:val="5"/>
        </w:numPr>
        <w:bidi w:val="0"/>
        <w:spacing w:before="0"/>
        <w:ind w:left="426"/>
        <w:jc w:val="left"/>
        <w:rPr>
          <w:rFonts w:ascii="Comic Sans MS" w:hAnsi="Comic Sans MS" w:cstheme="minorHAnsi"/>
          <w:sz w:val="24"/>
          <w:szCs w:val="24"/>
          <w:lang w:val="fr-FR"/>
        </w:rPr>
      </w:pPr>
      <w:bookmarkStart w:id="22" w:name="_Toc166937616"/>
      <w:r>
        <w:rPr>
          <w:rFonts w:ascii="Comic Sans MS" w:hAnsi="Comic Sans MS" w:cstheme="minorHAnsi"/>
          <w:sz w:val="24"/>
          <w:szCs w:val="24"/>
          <w:lang w:val="fr-FR"/>
        </w:rPr>
        <w:t>M</w:t>
      </w:r>
      <w:r w:rsidR="006808B6" w:rsidRPr="009F25CF">
        <w:rPr>
          <w:rFonts w:ascii="Comic Sans MS" w:hAnsi="Comic Sans MS" w:cstheme="minorHAnsi"/>
          <w:sz w:val="24"/>
          <w:szCs w:val="24"/>
          <w:lang w:val="fr-FR"/>
        </w:rPr>
        <w:t>esures</w:t>
      </w:r>
      <w:r w:rsidR="00B40152" w:rsidRPr="009F25CF">
        <w:rPr>
          <w:rFonts w:ascii="Comic Sans MS" w:hAnsi="Comic Sans MS" w:cstheme="minorHAnsi"/>
          <w:sz w:val="24"/>
          <w:szCs w:val="24"/>
          <w:lang w:val="fr-FR"/>
        </w:rPr>
        <w:t xml:space="preserve"> d'atténuation</w:t>
      </w:r>
      <w:r>
        <w:rPr>
          <w:rFonts w:ascii="Comic Sans MS" w:hAnsi="Comic Sans MS" w:cstheme="minorHAnsi"/>
          <w:sz w:val="24"/>
          <w:szCs w:val="24"/>
          <w:lang w:val="fr-FR"/>
        </w:rPr>
        <w:t>s</w:t>
      </w:r>
      <w:r w:rsidR="00B40152" w:rsidRPr="009F25CF">
        <w:rPr>
          <w:rFonts w:ascii="Comic Sans MS" w:hAnsi="Comic Sans MS" w:cstheme="minorHAnsi"/>
          <w:sz w:val="24"/>
          <w:szCs w:val="24"/>
          <w:lang w:val="fr-FR"/>
        </w:rPr>
        <w:t xml:space="preserve"> de la </w:t>
      </w:r>
      <w:r w:rsidR="00E6196B" w:rsidRPr="009F25CF">
        <w:rPr>
          <w:rFonts w:ascii="Comic Sans MS" w:hAnsi="Comic Sans MS" w:cstheme="minorHAnsi"/>
          <w:sz w:val="24"/>
          <w:szCs w:val="24"/>
          <w:lang w:val="fr-FR"/>
        </w:rPr>
        <w:t>4</w:t>
      </w:r>
      <w:r w:rsidR="00E6196B" w:rsidRPr="009F25CF">
        <w:rPr>
          <w:rFonts w:ascii="Comic Sans MS" w:hAnsi="Comic Sans MS" w:cstheme="minorHAnsi"/>
          <w:sz w:val="24"/>
          <w:szCs w:val="24"/>
          <w:vertAlign w:val="superscript"/>
          <w:lang w:val="fr-FR"/>
        </w:rPr>
        <w:t>ième</w:t>
      </w:r>
      <w:r w:rsidR="00E6196B" w:rsidRPr="009F25CF">
        <w:rPr>
          <w:rFonts w:ascii="Comic Sans MS" w:hAnsi="Comic Sans MS" w:cstheme="minorHAnsi"/>
          <w:sz w:val="24"/>
          <w:szCs w:val="24"/>
          <w:lang w:val="fr-FR"/>
        </w:rPr>
        <w:t xml:space="preserve"> </w:t>
      </w:r>
      <w:r w:rsidR="004721C3" w:rsidRPr="009F25CF">
        <w:rPr>
          <w:rFonts w:ascii="Comic Sans MS" w:hAnsi="Comic Sans MS" w:cstheme="minorHAnsi"/>
          <w:sz w:val="24"/>
          <w:szCs w:val="24"/>
          <w:lang w:val="fr-FR"/>
        </w:rPr>
        <w:t xml:space="preserve">communication nationale et de la </w:t>
      </w:r>
      <w:r w:rsidR="00E6196B" w:rsidRPr="009F25CF">
        <w:rPr>
          <w:rFonts w:ascii="Comic Sans MS" w:hAnsi="Comic Sans MS" w:cstheme="minorHAnsi"/>
          <w:sz w:val="24"/>
          <w:szCs w:val="24"/>
          <w:lang w:val="fr-FR"/>
        </w:rPr>
        <w:t>2</w:t>
      </w:r>
      <w:r w:rsidR="00E6196B" w:rsidRPr="009F25CF">
        <w:rPr>
          <w:rFonts w:ascii="Comic Sans MS" w:hAnsi="Comic Sans MS" w:cstheme="minorHAnsi"/>
          <w:sz w:val="24"/>
          <w:szCs w:val="24"/>
          <w:vertAlign w:val="superscript"/>
          <w:lang w:val="fr-FR"/>
        </w:rPr>
        <w:t>ième</w:t>
      </w:r>
      <w:r w:rsidR="00E6196B" w:rsidRPr="009F25CF">
        <w:rPr>
          <w:rFonts w:ascii="Comic Sans MS" w:hAnsi="Comic Sans MS" w:cstheme="minorHAnsi"/>
          <w:sz w:val="24"/>
          <w:szCs w:val="24"/>
          <w:lang w:val="fr-FR"/>
        </w:rPr>
        <w:t xml:space="preserve"> </w:t>
      </w:r>
      <w:r w:rsidR="004721C3" w:rsidRPr="009F25CF">
        <w:rPr>
          <w:rFonts w:ascii="Comic Sans MS" w:hAnsi="Comic Sans MS" w:cstheme="minorHAnsi"/>
          <w:sz w:val="24"/>
          <w:szCs w:val="24"/>
          <w:lang w:val="fr-FR"/>
        </w:rPr>
        <w:t>CDN</w:t>
      </w:r>
      <w:bookmarkEnd w:id="22"/>
    </w:p>
    <w:p w14:paraId="5B19AD3F" w14:textId="77777777" w:rsidR="00B071C7" w:rsidRPr="009F25CF" w:rsidRDefault="00B071C7">
      <w:pPr>
        <w:pStyle w:val="Paragraphedeliste"/>
        <w:numPr>
          <w:ilvl w:val="0"/>
          <w:numId w:val="6"/>
        </w:numPr>
        <w:spacing w:before="0"/>
        <w:rPr>
          <w:rFonts w:ascii="Comic Sans MS" w:eastAsiaTheme="minorHAnsi" w:hAnsi="Comic Sans MS" w:cstheme="minorHAnsi"/>
          <w:b/>
          <w:bCs/>
        </w:rPr>
      </w:pPr>
      <w:r w:rsidRPr="009F25CF">
        <w:rPr>
          <w:rFonts w:ascii="Comic Sans MS" w:eastAsiaTheme="minorHAnsi" w:hAnsi="Comic Sans MS" w:cstheme="minorHAnsi"/>
          <w:b/>
          <w:bCs/>
        </w:rPr>
        <w:t>Dans le cadre de la 4</w:t>
      </w:r>
      <w:r w:rsidRPr="009F25CF">
        <w:rPr>
          <w:rFonts w:ascii="Comic Sans MS" w:eastAsiaTheme="minorHAnsi" w:hAnsi="Comic Sans MS" w:cstheme="minorHAnsi"/>
          <w:b/>
          <w:bCs/>
          <w:vertAlign w:val="superscript"/>
        </w:rPr>
        <w:t>ième</w:t>
      </w:r>
      <w:r w:rsidRPr="009F25CF">
        <w:rPr>
          <w:rFonts w:ascii="Comic Sans MS" w:eastAsiaTheme="minorHAnsi" w:hAnsi="Comic Sans MS" w:cstheme="minorHAnsi"/>
          <w:b/>
          <w:bCs/>
        </w:rPr>
        <w:t xml:space="preserve"> communication nationale</w:t>
      </w:r>
    </w:p>
    <w:p w14:paraId="367042FE" w14:textId="1344058B" w:rsidR="004721C3" w:rsidRPr="009F25CF" w:rsidRDefault="00B071C7" w:rsidP="00F13946">
      <w:pPr>
        <w:autoSpaceDE w:val="0"/>
        <w:autoSpaceDN w:val="0"/>
        <w:adjustRightInd w:val="0"/>
        <w:spacing w:before="0" w:after="120"/>
        <w:ind w:left="0" w:firstLine="0"/>
        <w:rPr>
          <w:rFonts w:ascii="Comic Sans MS" w:eastAsiaTheme="minorHAnsi" w:hAnsi="Comic Sans MS" w:cstheme="minorHAnsi"/>
          <w:sz w:val="24"/>
          <w:szCs w:val="24"/>
        </w:rPr>
      </w:pPr>
      <w:r w:rsidRPr="009F25CF">
        <w:rPr>
          <w:rFonts w:ascii="Comic Sans MS" w:eastAsiaTheme="minorHAnsi" w:hAnsi="Comic Sans MS" w:cstheme="minorHAnsi"/>
          <w:sz w:val="24"/>
          <w:szCs w:val="24"/>
        </w:rPr>
        <w:t xml:space="preserve">Le pays a </w:t>
      </w:r>
      <w:r w:rsidR="008E6EB0">
        <w:rPr>
          <w:rFonts w:ascii="Comic Sans MS" w:eastAsiaTheme="minorHAnsi" w:hAnsi="Comic Sans MS" w:cstheme="minorHAnsi"/>
          <w:sz w:val="24"/>
          <w:szCs w:val="24"/>
        </w:rPr>
        <w:t>défini</w:t>
      </w:r>
      <w:r w:rsidR="00C22AC6" w:rsidRPr="009F25CF">
        <w:rPr>
          <w:rFonts w:ascii="Comic Sans MS" w:eastAsiaTheme="minorHAnsi" w:hAnsi="Comic Sans MS" w:cstheme="minorHAnsi"/>
          <w:sz w:val="24"/>
          <w:szCs w:val="24"/>
        </w:rPr>
        <w:t>,</w:t>
      </w:r>
      <w:r w:rsidRPr="009F25CF">
        <w:rPr>
          <w:rFonts w:ascii="Comic Sans MS" w:eastAsiaTheme="minorHAnsi" w:hAnsi="Comic Sans MS" w:cstheme="minorHAnsi"/>
          <w:sz w:val="24"/>
          <w:szCs w:val="24"/>
        </w:rPr>
        <w:t xml:space="preserve"> </w:t>
      </w:r>
      <w:r w:rsidR="00D316A7" w:rsidRPr="009F25CF">
        <w:rPr>
          <w:rFonts w:ascii="Comic Sans MS" w:eastAsiaTheme="minorHAnsi" w:hAnsi="Comic Sans MS" w:cstheme="minorHAnsi"/>
          <w:sz w:val="24"/>
          <w:szCs w:val="24"/>
        </w:rPr>
        <w:t xml:space="preserve">pour le sous-secteur </w:t>
      </w:r>
      <w:r w:rsidR="008E6EB0">
        <w:rPr>
          <w:rFonts w:ascii="Comic Sans MS" w:eastAsiaTheme="minorHAnsi" w:hAnsi="Comic Sans MS" w:cstheme="minorHAnsi"/>
          <w:sz w:val="24"/>
          <w:szCs w:val="24"/>
        </w:rPr>
        <w:t>énergies résidentielles</w:t>
      </w:r>
      <w:r w:rsidR="00C22AC6" w:rsidRPr="009F25CF">
        <w:rPr>
          <w:rFonts w:ascii="Comic Sans MS" w:eastAsiaTheme="minorHAnsi" w:hAnsi="Comic Sans MS" w:cstheme="minorHAnsi"/>
          <w:sz w:val="24"/>
          <w:szCs w:val="24"/>
        </w:rPr>
        <w:t>,</w:t>
      </w:r>
      <w:r w:rsidR="00D316A7" w:rsidRPr="009F25CF">
        <w:rPr>
          <w:rFonts w:ascii="Comic Sans MS" w:eastAsiaTheme="minorHAnsi" w:hAnsi="Comic Sans MS" w:cstheme="minorHAnsi"/>
          <w:sz w:val="24"/>
          <w:szCs w:val="24"/>
        </w:rPr>
        <w:t xml:space="preserve"> </w:t>
      </w:r>
      <w:r w:rsidRPr="009F25CF">
        <w:rPr>
          <w:rFonts w:ascii="Comic Sans MS" w:eastAsiaTheme="minorHAnsi" w:hAnsi="Comic Sans MS" w:cstheme="minorHAnsi"/>
          <w:sz w:val="24"/>
          <w:szCs w:val="24"/>
        </w:rPr>
        <w:t xml:space="preserve">la mise en œuvre des </w:t>
      </w:r>
      <w:r w:rsidR="004721C3" w:rsidRPr="009F25CF">
        <w:rPr>
          <w:rFonts w:ascii="Comic Sans MS" w:eastAsiaTheme="minorHAnsi" w:hAnsi="Comic Sans MS" w:cstheme="minorHAnsi"/>
          <w:sz w:val="24"/>
          <w:szCs w:val="24"/>
        </w:rPr>
        <w:t>mesures</w:t>
      </w:r>
      <w:r w:rsidRPr="009F25CF">
        <w:rPr>
          <w:rFonts w:ascii="Comic Sans MS" w:eastAsiaTheme="minorHAnsi" w:hAnsi="Comic Sans MS" w:cstheme="minorHAnsi"/>
          <w:sz w:val="24"/>
          <w:szCs w:val="24"/>
        </w:rPr>
        <w:t xml:space="preserve"> d’atténuation</w:t>
      </w:r>
      <w:r w:rsidR="004721C3" w:rsidRPr="009F25CF">
        <w:rPr>
          <w:rFonts w:ascii="Comic Sans MS" w:eastAsiaTheme="minorHAnsi" w:hAnsi="Comic Sans MS" w:cstheme="minorHAnsi"/>
          <w:sz w:val="24"/>
          <w:szCs w:val="24"/>
        </w:rPr>
        <w:t xml:space="preserve"> </w:t>
      </w:r>
      <w:r w:rsidR="00D32506" w:rsidRPr="009F25CF">
        <w:rPr>
          <w:rFonts w:ascii="Comic Sans MS" w:eastAsiaTheme="minorHAnsi" w:hAnsi="Comic Sans MS" w:cstheme="minorHAnsi"/>
          <w:sz w:val="24"/>
          <w:szCs w:val="24"/>
        </w:rPr>
        <w:t>visant l</w:t>
      </w:r>
      <w:r w:rsidR="006F085B">
        <w:rPr>
          <w:rFonts w:ascii="Comic Sans MS" w:eastAsiaTheme="minorHAnsi" w:hAnsi="Comic Sans MS" w:cstheme="minorHAnsi"/>
          <w:sz w:val="24"/>
          <w:szCs w:val="24"/>
        </w:rPr>
        <w:t>a réduction des émissions des GES lié</w:t>
      </w:r>
      <w:r w:rsidR="00D32506" w:rsidRPr="009F25CF">
        <w:rPr>
          <w:rFonts w:ascii="Comic Sans MS" w:eastAsiaTheme="minorHAnsi" w:hAnsi="Comic Sans MS" w:cstheme="minorHAnsi"/>
          <w:sz w:val="24"/>
          <w:szCs w:val="24"/>
        </w:rPr>
        <w:t>e</w:t>
      </w:r>
      <w:r w:rsidR="00EA49CD">
        <w:rPr>
          <w:rFonts w:ascii="Comic Sans MS" w:eastAsiaTheme="minorHAnsi" w:hAnsi="Comic Sans MS" w:cstheme="minorHAnsi"/>
          <w:sz w:val="24"/>
          <w:szCs w:val="24"/>
        </w:rPr>
        <w:t>s à l’utilisation des combustibles ligneux responsable</w:t>
      </w:r>
      <w:r w:rsidR="00566683">
        <w:rPr>
          <w:rFonts w:ascii="Comic Sans MS" w:eastAsiaTheme="minorHAnsi" w:hAnsi="Comic Sans MS" w:cstheme="minorHAnsi"/>
          <w:sz w:val="24"/>
          <w:szCs w:val="24"/>
        </w:rPr>
        <w:t xml:space="preserve"> </w:t>
      </w:r>
      <w:r w:rsidR="00347610">
        <w:rPr>
          <w:rFonts w:ascii="Comic Sans MS" w:eastAsiaTheme="minorHAnsi" w:hAnsi="Comic Sans MS" w:cstheme="minorHAnsi"/>
          <w:sz w:val="24"/>
          <w:szCs w:val="24"/>
        </w:rPr>
        <w:t xml:space="preserve">qui est </w:t>
      </w:r>
      <w:r w:rsidR="00566683">
        <w:rPr>
          <w:rFonts w:ascii="Comic Sans MS" w:eastAsiaTheme="minorHAnsi" w:hAnsi="Comic Sans MS" w:cstheme="minorHAnsi"/>
          <w:sz w:val="24"/>
          <w:szCs w:val="24"/>
        </w:rPr>
        <w:t>l’un</w:t>
      </w:r>
      <w:r w:rsidR="00347610">
        <w:rPr>
          <w:rFonts w:ascii="Comic Sans MS" w:eastAsiaTheme="minorHAnsi" w:hAnsi="Comic Sans MS" w:cstheme="minorHAnsi"/>
          <w:sz w:val="24"/>
          <w:szCs w:val="24"/>
        </w:rPr>
        <w:t>e</w:t>
      </w:r>
      <w:r w:rsidR="00566683">
        <w:rPr>
          <w:rFonts w:ascii="Comic Sans MS" w:eastAsiaTheme="minorHAnsi" w:hAnsi="Comic Sans MS" w:cstheme="minorHAnsi"/>
          <w:sz w:val="24"/>
          <w:szCs w:val="24"/>
        </w:rPr>
        <w:t xml:space="preserve"> des principales causes </w:t>
      </w:r>
      <w:r w:rsidR="00EA49CD">
        <w:rPr>
          <w:rFonts w:ascii="Comic Sans MS" w:eastAsiaTheme="minorHAnsi" w:hAnsi="Comic Sans MS" w:cstheme="minorHAnsi"/>
          <w:sz w:val="24"/>
          <w:szCs w:val="24"/>
        </w:rPr>
        <w:t>de la déforestation au niveau national</w:t>
      </w:r>
      <w:r w:rsidR="00D32506" w:rsidRPr="009F25CF">
        <w:rPr>
          <w:rFonts w:ascii="Comic Sans MS" w:eastAsiaTheme="minorHAnsi" w:hAnsi="Comic Sans MS" w:cstheme="minorHAnsi"/>
          <w:sz w:val="24"/>
          <w:szCs w:val="24"/>
        </w:rPr>
        <w:t xml:space="preserve">. Elles </w:t>
      </w:r>
      <w:r w:rsidR="00C22AC6" w:rsidRPr="009F25CF">
        <w:rPr>
          <w:rFonts w:ascii="Comic Sans MS" w:eastAsiaTheme="minorHAnsi" w:hAnsi="Comic Sans MS" w:cstheme="minorHAnsi"/>
          <w:sz w:val="24"/>
          <w:szCs w:val="24"/>
        </w:rPr>
        <w:t>incluent</w:t>
      </w:r>
      <w:r w:rsidR="00D32506" w:rsidRPr="009F25CF">
        <w:rPr>
          <w:rFonts w:ascii="Comic Sans MS" w:eastAsiaTheme="minorHAnsi" w:hAnsi="Comic Sans MS" w:cstheme="minorHAnsi"/>
          <w:sz w:val="24"/>
          <w:szCs w:val="24"/>
        </w:rPr>
        <w:t xml:space="preserve"> les </w:t>
      </w:r>
      <w:r w:rsidR="00D71B67" w:rsidRPr="009F25CF">
        <w:rPr>
          <w:rFonts w:ascii="Comic Sans MS" w:eastAsiaTheme="minorHAnsi" w:hAnsi="Comic Sans MS" w:cstheme="minorHAnsi"/>
          <w:sz w:val="24"/>
          <w:szCs w:val="24"/>
        </w:rPr>
        <w:t>axe</w:t>
      </w:r>
      <w:r w:rsidR="00D32506" w:rsidRPr="009F25CF">
        <w:rPr>
          <w:rFonts w:ascii="Comic Sans MS" w:eastAsiaTheme="minorHAnsi" w:hAnsi="Comic Sans MS" w:cstheme="minorHAnsi"/>
          <w:sz w:val="24"/>
          <w:szCs w:val="24"/>
        </w:rPr>
        <w:t xml:space="preserve">s </w:t>
      </w:r>
      <w:r w:rsidR="004721C3" w:rsidRPr="009F25CF">
        <w:rPr>
          <w:rFonts w:ascii="Comic Sans MS" w:eastAsiaTheme="minorHAnsi" w:hAnsi="Comic Sans MS" w:cstheme="minorHAnsi"/>
          <w:sz w:val="24"/>
          <w:szCs w:val="24"/>
        </w:rPr>
        <w:t>suivantes :</w:t>
      </w:r>
    </w:p>
    <w:p w14:paraId="0D3F2288" w14:textId="4BE6AAC8" w:rsidR="00EA49CD" w:rsidRDefault="00EA49CD">
      <w:pPr>
        <w:pStyle w:val="Paragraphedeliste"/>
        <w:numPr>
          <w:ilvl w:val="0"/>
          <w:numId w:val="1"/>
        </w:numPr>
        <w:autoSpaceDE w:val="0"/>
        <w:autoSpaceDN w:val="0"/>
        <w:adjustRightInd w:val="0"/>
        <w:spacing w:before="0"/>
        <w:ind w:left="284" w:hanging="284"/>
        <w:rPr>
          <w:rFonts w:ascii="Comic Sans MS" w:eastAsiaTheme="minorHAnsi" w:hAnsi="Comic Sans MS" w:cstheme="minorHAnsi"/>
        </w:rPr>
      </w:pPr>
      <w:r w:rsidRPr="009F25CF">
        <w:rPr>
          <w:rFonts w:ascii="Comic Sans MS" w:eastAsiaTheme="minorHAnsi" w:hAnsi="Comic Sans MS" w:cstheme="minorHAnsi"/>
        </w:rPr>
        <w:t>L</w:t>
      </w:r>
      <w:r>
        <w:rPr>
          <w:rFonts w:ascii="Comic Sans MS" w:eastAsiaTheme="minorHAnsi" w:hAnsi="Comic Sans MS" w:cstheme="minorHAnsi"/>
        </w:rPr>
        <w:t xml:space="preserve">e développement </w:t>
      </w:r>
      <w:r w:rsidR="00454698">
        <w:rPr>
          <w:rFonts w:ascii="Comic Sans MS" w:eastAsiaTheme="minorHAnsi" w:hAnsi="Comic Sans MS" w:cstheme="minorHAnsi"/>
        </w:rPr>
        <w:t xml:space="preserve">de </w:t>
      </w:r>
      <w:r>
        <w:rPr>
          <w:rFonts w:ascii="Comic Sans MS" w:eastAsiaTheme="minorHAnsi" w:hAnsi="Comic Sans MS" w:cstheme="minorHAnsi"/>
        </w:rPr>
        <w:t xml:space="preserve">l’efficacité énergétique </w:t>
      </w:r>
      <w:r w:rsidR="00AD4EF9">
        <w:rPr>
          <w:rFonts w:ascii="Comic Sans MS" w:eastAsiaTheme="minorHAnsi" w:hAnsi="Comic Sans MS" w:cstheme="minorHAnsi"/>
        </w:rPr>
        <w:t xml:space="preserve">à travers l’utilisation des </w:t>
      </w:r>
      <w:r w:rsidR="002F7C09">
        <w:rPr>
          <w:rFonts w:ascii="Comic Sans MS" w:eastAsiaTheme="minorHAnsi" w:hAnsi="Comic Sans MS" w:cstheme="minorHAnsi"/>
        </w:rPr>
        <w:t>foyers améliorés</w:t>
      </w:r>
      <w:r w:rsidR="00AD4EF9">
        <w:rPr>
          <w:rFonts w:ascii="Comic Sans MS" w:eastAsiaTheme="minorHAnsi" w:hAnsi="Comic Sans MS" w:cstheme="minorHAnsi"/>
        </w:rPr>
        <w:t>.</w:t>
      </w:r>
      <w:r w:rsidR="00454698">
        <w:rPr>
          <w:rFonts w:ascii="Comic Sans MS" w:eastAsiaTheme="minorHAnsi" w:hAnsi="Comic Sans MS" w:cstheme="minorHAnsi"/>
        </w:rPr>
        <w:t xml:space="preserve"> Cette technologie permet </w:t>
      </w:r>
      <w:r w:rsidR="00454698" w:rsidRPr="00454698">
        <w:rPr>
          <w:rFonts w:ascii="Comic Sans MS" w:eastAsiaTheme="minorHAnsi" w:hAnsi="Comic Sans MS" w:cstheme="minorHAnsi"/>
        </w:rPr>
        <w:t xml:space="preserve">la réduction de la consommation </w:t>
      </w:r>
      <w:r w:rsidR="00454698">
        <w:rPr>
          <w:rFonts w:ascii="Comic Sans MS" w:eastAsiaTheme="minorHAnsi" w:hAnsi="Comic Sans MS" w:cstheme="minorHAnsi"/>
        </w:rPr>
        <w:t xml:space="preserve">des combustibles ligneux </w:t>
      </w:r>
      <w:r w:rsidR="00454698" w:rsidRPr="00454698">
        <w:rPr>
          <w:rFonts w:ascii="Comic Sans MS" w:eastAsiaTheme="minorHAnsi" w:hAnsi="Comic Sans MS" w:cstheme="minorHAnsi"/>
        </w:rPr>
        <w:t xml:space="preserve">grâce à un </w:t>
      </w:r>
      <w:r w:rsidR="00454698">
        <w:rPr>
          <w:rFonts w:ascii="Comic Sans MS" w:eastAsiaTheme="minorHAnsi" w:hAnsi="Comic Sans MS" w:cstheme="minorHAnsi"/>
        </w:rPr>
        <w:t>système</w:t>
      </w:r>
      <w:r w:rsidR="00347610">
        <w:rPr>
          <w:rFonts w:ascii="Comic Sans MS" w:eastAsiaTheme="minorHAnsi" w:hAnsi="Comic Sans MS" w:cstheme="minorHAnsi"/>
        </w:rPr>
        <w:t xml:space="preserve"> de</w:t>
      </w:r>
      <w:r w:rsidR="00454698">
        <w:rPr>
          <w:rFonts w:ascii="Comic Sans MS" w:eastAsiaTheme="minorHAnsi" w:hAnsi="Comic Sans MS" w:cstheme="minorHAnsi"/>
        </w:rPr>
        <w:t xml:space="preserve"> </w:t>
      </w:r>
      <w:r w:rsidR="00454698" w:rsidRPr="00454698">
        <w:rPr>
          <w:rFonts w:ascii="Comic Sans MS" w:eastAsiaTheme="minorHAnsi" w:hAnsi="Comic Sans MS" w:cstheme="minorHAnsi"/>
        </w:rPr>
        <w:t>réduction des pertes énergétiques</w:t>
      </w:r>
      <w:r w:rsidR="00454698">
        <w:rPr>
          <w:rFonts w:ascii="Comic Sans MS" w:eastAsiaTheme="minorHAnsi" w:hAnsi="Comic Sans MS" w:cstheme="minorHAnsi"/>
        </w:rPr>
        <w:t xml:space="preserve"> et </w:t>
      </w:r>
      <w:r w:rsidR="00AC65D7">
        <w:rPr>
          <w:rFonts w:ascii="Comic Sans MS" w:eastAsiaTheme="minorHAnsi" w:hAnsi="Comic Sans MS" w:cstheme="minorHAnsi"/>
        </w:rPr>
        <w:t xml:space="preserve">de rationalisation de la consommation de la biomasse à travers </w:t>
      </w:r>
      <w:r w:rsidR="00AC65D7" w:rsidRPr="00AC65D7">
        <w:rPr>
          <w:rFonts w:ascii="Comic Sans MS" w:eastAsiaTheme="minorHAnsi" w:hAnsi="Comic Sans MS" w:cstheme="minorHAnsi"/>
        </w:rPr>
        <w:t>un meilleur transfert de chaleur par convection et rayonnement.</w:t>
      </w:r>
      <w:r w:rsidR="00454698" w:rsidRPr="00454698">
        <w:rPr>
          <w:rFonts w:ascii="Comic Sans MS" w:eastAsiaTheme="minorHAnsi" w:hAnsi="Comic Sans MS" w:cstheme="minorHAnsi"/>
        </w:rPr>
        <w:t> </w:t>
      </w:r>
      <w:r w:rsidR="00C90D85">
        <w:rPr>
          <w:rFonts w:ascii="Comic Sans MS" w:eastAsiaTheme="minorHAnsi" w:hAnsi="Comic Sans MS" w:cstheme="minorHAnsi"/>
        </w:rPr>
        <w:t xml:space="preserve">Selon les projections de la 4CN, cette technologie peut réduire les émissions d’environ 100 </w:t>
      </w:r>
      <w:proofErr w:type="spellStart"/>
      <w:r w:rsidR="00C90D85">
        <w:rPr>
          <w:rFonts w:ascii="Comic Sans MS" w:eastAsiaTheme="minorHAnsi" w:hAnsi="Comic Sans MS" w:cstheme="minorHAnsi"/>
        </w:rPr>
        <w:t>Gg</w:t>
      </w:r>
      <w:proofErr w:type="spellEnd"/>
      <w:r w:rsidR="00C90D85">
        <w:rPr>
          <w:rFonts w:ascii="Comic Sans MS" w:eastAsiaTheme="minorHAnsi" w:hAnsi="Comic Sans MS" w:cstheme="minorHAnsi"/>
        </w:rPr>
        <w:t xml:space="preserve"> Eq-CO</w:t>
      </w:r>
      <w:r w:rsidR="00C90D85" w:rsidRPr="00C90D85">
        <w:rPr>
          <w:rFonts w:ascii="Comic Sans MS" w:eastAsiaTheme="minorHAnsi" w:hAnsi="Comic Sans MS" w:cstheme="minorHAnsi"/>
          <w:vertAlign w:val="subscript"/>
        </w:rPr>
        <w:t>2</w:t>
      </w:r>
      <w:r w:rsidR="00C90D85">
        <w:rPr>
          <w:rFonts w:ascii="Comic Sans MS" w:eastAsiaTheme="minorHAnsi" w:hAnsi="Comic Sans MS" w:cstheme="minorHAnsi"/>
        </w:rPr>
        <w:t xml:space="preserve"> entre 2015 et 2030. </w:t>
      </w:r>
    </w:p>
    <w:p w14:paraId="171330D0" w14:textId="77777777" w:rsidR="00454698" w:rsidRPr="00454698" w:rsidRDefault="00454698" w:rsidP="00454698">
      <w:pPr>
        <w:autoSpaceDE w:val="0"/>
        <w:autoSpaceDN w:val="0"/>
        <w:adjustRightInd w:val="0"/>
        <w:spacing w:before="0"/>
        <w:rPr>
          <w:rFonts w:ascii="Comic Sans MS" w:eastAsiaTheme="minorHAnsi" w:hAnsi="Comic Sans MS" w:cstheme="minorHAnsi"/>
        </w:rPr>
      </w:pPr>
    </w:p>
    <w:p w14:paraId="3B1C65E3" w14:textId="5EA1135E" w:rsidR="00092A3C" w:rsidRDefault="002F7C09">
      <w:pPr>
        <w:pStyle w:val="Paragraphedeliste"/>
        <w:numPr>
          <w:ilvl w:val="0"/>
          <w:numId w:val="1"/>
        </w:numPr>
        <w:autoSpaceDE w:val="0"/>
        <w:autoSpaceDN w:val="0"/>
        <w:adjustRightInd w:val="0"/>
        <w:spacing w:before="0"/>
        <w:ind w:left="284" w:hanging="284"/>
        <w:rPr>
          <w:rFonts w:ascii="Comic Sans MS" w:eastAsiaTheme="minorHAnsi" w:hAnsi="Comic Sans MS" w:cstheme="minorHAnsi"/>
        </w:rPr>
      </w:pPr>
      <w:r w:rsidRPr="00BF3A93">
        <w:rPr>
          <w:rFonts w:ascii="Comic Sans MS" w:eastAsiaTheme="minorHAnsi" w:hAnsi="Comic Sans MS" w:cstheme="minorHAnsi"/>
        </w:rPr>
        <w:t xml:space="preserve">La </w:t>
      </w:r>
      <w:r w:rsidR="00092A3C" w:rsidRPr="00BF3A93">
        <w:rPr>
          <w:rFonts w:ascii="Comic Sans MS" w:eastAsiaTheme="minorHAnsi" w:hAnsi="Comic Sans MS" w:cstheme="minorHAnsi"/>
        </w:rPr>
        <w:t xml:space="preserve">promotion de la </w:t>
      </w:r>
      <w:proofErr w:type="spellStart"/>
      <w:r w:rsidRPr="00BF3A93">
        <w:rPr>
          <w:rFonts w:ascii="Comic Sans MS" w:eastAsiaTheme="minorHAnsi" w:hAnsi="Comic Sans MS" w:cstheme="minorHAnsi"/>
        </w:rPr>
        <w:t>butanisation</w:t>
      </w:r>
      <w:proofErr w:type="spellEnd"/>
      <w:r w:rsidRPr="00BF3A93">
        <w:rPr>
          <w:rFonts w:ascii="Comic Sans MS" w:eastAsiaTheme="minorHAnsi" w:hAnsi="Comic Sans MS" w:cstheme="minorHAnsi"/>
        </w:rPr>
        <w:t xml:space="preserve"> comme approche alternative à l’utilisation des combustibles ligneux. </w:t>
      </w:r>
      <w:r w:rsidR="00AA5095" w:rsidRPr="00BF3A93">
        <w:rPr>
          <w:rFonts w:ascii="Comic Sans MS" w:eastAsiaTheme="minorHAnsi" w:hAnsi="Comic Sans MS" w:cstheme="minorHAnsi"/>
        </w:rPr>
        <w:t xml:space="preserve">Cette politique a été lancé en Mauritanie depuis 1987 à travers la création de la Société Mauritanienne de Gaz (SOMAGAZ) </w:t>
      </w:r>
      <w:r w:rsidR="00B36A1B" w:rsidRPr="00BF3A93">
        <w:rPr>
          <w:rFonts w:ascii="Comic Sans MS" w:eastAsiaTheme="minorHAnsi" w:hAnsi="Comic Sans MS" w:cstheme="minorHAnsi"/>
        </w:rPr>
        <w:t xml:space="preserve">qui </w:t>
      </w:r>
      <w:r w:rsidR="00092A3C" w:rsidRPr="00BF3A93">
        <w:rPr>
          <w:rFonts w:ascii="Comic Sans MS" w:eastAsiaTheme="minorHAnsi" w:hAnsi="Comic Sans MS" w:cstheme="minorHAnsi"/>
        </w:rPr>
        <w:t xml:space="preserve">avait le monopole de l’importation, le stockage, l’enfûtage, </w:t>
      </w:r>
      <w:r w:rsidR="00BF3A93">
        <w:rPr>
          <w:rFonts w:ascii="Comic Sans MS" w:eastAsiaTheme="minorHAnsi" w:hAnsi="Comic Sans MS" w:cstheme="minorHAnsi"/>
        </w:rPr>
        <w:t xml:space="preserve">le transport, </w:t>
      </w:r>
      <w:r w:rsidR="00092A3C" w:rsidRPr="00BF3A93">
        <w:rPr>
          <w:rFonts w:ascii="Comic Sans MS" w:eastAsiaTheme="minorHAnsi" w:hAnsi="Comic Sans MS" w:cstheme="minorHAnsi"/>
        </w:rPr>
        <w:t xml:space="preserve">la distribution et la commercialisation du gaz butane.  Le pays a décidé en 2002 </w:t>
      </w:r>
      <w:r w:rsidR="00BF3A93" w:rsidRPr="00BF3A93">
        <w:rPr>
          <w:rFonts w:ascii="Comic Sans MS" w:eastAsiaTheme="minorHAnsi" w:hAnsi="Comic Sans MS" w:cstheme="minorHAnsi"/>
        </w:rPr>
        <w:t>la libéralisation de ce</w:t>
      </w:r>
      <w:r w:rsidR="00821855">
        <w:rPr>
          <w:rFonts w:ascii="Comic Sans MS" w:eastAsiaTheme="minorHAnsi" w:hAnsi="Comic Sans MS" w:cstheme="minorHAnsi"/>
        </w:rPr>
        <w:t xml:space="preserve"> secteur </w:t>
      </w:r>
      <w:r w:rsidR="00BF3A93" w:rsidRPr="00BF3A93">
        <w:rPr>
          <w:rFonts w:ascii="Comic Sans MS" w:eastAsiaTheme="minorHAnsi" w:hAnsi="Comic Sans MS" w:cstheme="minorHAnsi"/>
        </w:rPr>
        <w:t xml:space="preserve">aux seules personnes physiques ou morales de droit privé ou de droit public ayant obtenu une licence </w:t>
      </w:r>
      <w:r w:rsidR="00BF3A93" w:rsidRPr="00BF3A93">
        <w:rPr>
          <w:rFonts w:ascii="Comic Sans MS" w:eastAsiaTheme="minorHAnsi" w:hAnsi="Comic Sans MS" w:cstheme="minorHAnsi"/>
        </w:rPr>
        <w:lastRenderedPageBreak/>
        <w:t>dans les conditions prévues par l</w:t>
      </w:r>
      <w:r w:rsidR="00BF3A93">
        <w:rPr>
          <w:rFonts w:ascii="Comic Sans MS" w:eastAsiaTheme="minorHAnsi" w:hAnsi="Comic Sans MS" w:cstheme="minorHAnsi"/>
        </w:rPr>
        <w:t>’</w:t>
      </w:r>
      <w:r w:rsidR="00BF3A93" w:rsidRPr="00BF3A93">
        <w:rPr>
          <w:rFonts w:ascii="Comic Sans MS" w:eastAsiaTheme="minorHAnsi" w:hAnsi="Comic Sans MS" w:cstheme="minorHAnsi"/>
        </w:rPr>
        <w:t>ordonnance</w:t>
      </w:r>
      <w:r w:rsidR="00BF3A93">
        <w:rPr>
          <w:rFonts w:ascii="Comic Sans MS" w:eastAsiaTheme="minorHAnsi" w:hAnsi="Comic Sans MS" w:cstheme="minorHAnsi"/>
        </w:rPr>
        <w:t xml:space="preserve"> </w:t>
      </w:r>
      <w:r w:rsidR="00BF3A93" w:rsidRPr="00BF3A93">
        <w:rPr>
          <w:rFonts w:ascii="Comic Sans MS" w:eastAsiaTheme="minorHAnsi" w:hAnsi="Comic Sans MS" w:cstheme="minorHAnsi"/>
        </w:rPr>
        <w:t>n°2002-005.</w:t>
      </w:r>
      <w:r w:rsidR="00821855">
        <w:rPr>
          <w:rFonts w:ascii="Comic Sans MS" w:eastAsiaTheme="minorHAnsi" w:hAnsi="Comic Sans MS" w:cstheme="minorHAnsi"/>
        </w:rPr>
        <w:t xml:space="preserve"> En 2024, il existe trois sociétés privées opérants dans ce secteur. Il s’agit de </w:t>
      </w:r>
      <w:proofErr w:type="spellStart"/>
      <w:proofErr w:type="gramStart"/>
      <w:r w:rsidR="00821855">
        <w:rPr>
          <w:rFonts w:ascii="Comic Sans MS" w:eastAsiaTheme="minorHAnsi" w:hAnsi="Comic Sans MS" w:cstheme="minorHAnsi"/>
        </w:rPr>
        <w:t>S</w:t>
      </w:r>
      <w:r w:rsidR="00821855" w:rsidRPr="00821855">
        <w:rPr>
          <w:rFonts w:ascii="Comic Sans MS" w:eastAsiaTheme="minorHAnsi" w:hAnsi="Comic Sans MS" w:cstheme="minorHAnsi"/>
        </w:rPr>
        <w:t>omagaz</w:t>
      </w:r>
      <w:proofErr w:type="spellEnd"/>
      <w:r w:rsidR="00821855" w:rsidRPr="00821855">
        <w:rPr>
          <w:rFonts w:ascii="Comic Sans MS" w:eastAsiaTheme="minorHAnsi" w:hAnsi="Comic Sans MS" w:cstheme="minorHAnsi"/>
        </w:rPr>
        <w:t xml:space="preserve"> ,</w:t>
      </w:r>
      <w:proofErr w:type="gramEnd"/>
      <w:r w:rsidR="00821855" w:rsidRPr="00821855">
        <w:rPr>
          <w:rFonts w:ascii="Comic Sans MS" w:eastAsiaTheme="minorHAnsi" w:hAnsi="Comic Sans MS" w:cstheme="minorHAnsi"/>
        </w:rPr>
        <w:t xml:space="preserve"> </w:t>
      </w:r>
      <w:proofErr w:type="spellStart"/>
      <w:r w:rsidR="00821855" w:rsidRPr="00821855">
        <w:rPr>
          <w:rFonts w:ascii="Comic Sans MS" w:eastAsiaTheme="minorHAnsi" w:hAnsi="Comic Sans MS" w:cstheme="minorHAnsi"/>
        </w:rPr>
        <w:t>Maurigaz</w:t>
      </w:r>
      <w:proofErr w:type="spellEnd"/>
      <w:r w:rsidR="00821855" w:rsidRPr="00821855">
        <w:rPr>
          <w:rFonts w:ascii="Comic Sans MS" w:eastAsiaTheme="minorHAnsi" w:hAnsi="Comic Sans MS" w:cstheme="minorHAnsi"/>
        </w:rPr>
        <w:t xml:space="preserve"> et </w:t>
      </w:r>
      <w:proofErr w:type="spellStart"/>
      <w:r w:rsidR="00821855" w:rsidRPr="00821855">
        <w:rPr>
          <w:rFonts w:ascii="Comic Sans MS" w:eastAsiaTheme="minorHAnsi" w:hAnsi="Comic Sans MS" w:cstheme="minorHAnsi"/>
        </w:rPr>
        <w:t>Rimgaz</w:t>
      </w:r>
      <w:proofErr w:type="spellEnd"/>
      <w:r w:rsidR="00821855">
        <w:rPr>
          <w:rFonts w:ascii="Comic Sans MS" w:eastAsiaTheme="minorHAnsi" w:hAnsi="Comic Sans MS" w:cstheme="minorHAnsi"/>
        </w:rPr>
        <w:t>.</w:t>
      </w:r>
    </w:p>
    <w:p w14:paraId="30CE626D" w14:textId="77777777" w:rsidR="00821855" w:rsidRPr="00821855" w:rsidRDefault="00821855" w:rsidP="00821855">
      <w:pPr>
        <w:pStyle w:val="Paragraphedeliste"/>
        <w:rPr>
          <w:rFonts w:ascii="Comic Sans MS" w:eastAsiaTheme="minorHAnsi" w:hAnsi="Comic Sans MS" w:cstheme="minorHAnsi"/>
        </w:rPr>
      </w:pPr>
    </w:p>
    <w:p w14:paraId="783AD3E8" w14:textId="75677A73" w:rsidR="00AA5095" w:rsidRPr="00AA5095" w:rsidRDefault="00092A3C" w:rsidP="00BF3A93">
      <w:pPr>
        <w:pStyle w:val="Paragraphedeliste"/>
        <w:autoSpaceDE w:val="0"/>
        <w:autoSpaceDN w:val="0"/>
        <w:adjustRightInd w:val="0"/>
        <w:spacing w:before="0"/>
        <w:ind w:left="284" w:firstLine="0"/>
        <w:rPr>
          <w:rFonts w:ascii="Comic Sans MS" w:eastAsiaTheme="minorHAnsi" w:hAnsi="Comic Sans MS" w:cstheme="minorHAnsi"/>
        </w:rPr>
      </w:pPr>
      <w:r w:rsidRPr="00D573E9">
        <w:rPr>
          <w:rFonts w:ascii="Comic Sans MS" w:eastAsiaTheme="minorHAnsi" w:hAnsi="Comic Sans MS" w:cstheme="minorHAnsi"/>
        </w:rPr>
        <w:t xml:space="preserve">Le prix du gaz </w:t>
      </w:r>
      <w:r w:rsidR="00BF3A93">
        <w:rPr>
          <w:rFonts w:ascii="Comic Sans MS" w:eastAsiaTheme="minorHAnsi" w:hAnsi="Comic Sans MS" w:cstheme="minorHAnsi"/>
        </w:rPr>
        <w:t>butan</w:t>
      </w:r>
      <w:r w:rsidRPr="00D573E9">
        <w:rPr>
          <w:rFonts w:ascii="Comic Sans MS" w:eastAsiaTheme="minorHAnsi" w:hAnsi="Comic Sans MS" w:cstheme="minorHAnsi"/>
        </w:rPr>
        <w:t>e est soumis au tarif réglementé qui lui dote d’un prix fixe</w:t>
      </w:r>
      <w:r w:rsidR="00BF3A93">
        <w:rPr>
          <w:rFonts w:ascii="Comic Sans MS" w:eastAsiaTheme="minorHAnsi" w:hAnsi="Comic Sans MS" w:cstheme="minorHAnsi"/>
        </w:rPr>
        <w:t xml:space="preserve"> et </w:t>
      </w:r>
      <w:r w:rsidRPr="00D573E9">
        <w:rPr>
          <w:rFonts w:ascii="Comic Sans MS" w:eastAsiaTheme="minorHAnsi" w:hAnsi="Comic Sans MS" w:cstheme="minorHAnsi"/>
        </w:rPr>
        <w:t xml:space="preserve">stabilisés au moyen d’une subvention proportionnelle garantie chaque année par le budget de l’État. De ce fait, le prix du gaz </w:t>
      </w:r>
      <w:r w:rsidR="00BF3A93">
        <w:rPr>
          <w:rFonts w:ascii="Comic Sans MS" w:eastAsiaTheme="minorHAnsi" w:hAnsi="Comic Sans MS" w:cstheme="minorHAnsi"/>
        </w:rPr>
        <w:t>butan</w:t>
      </w:r>
      <w:r w:rsidRPr="00D573E9">
        <w:rPr>
          <w:rFonts w:ascii="Comic Sans MS" w:eastAsiaTheme="minorHAnsi" w:hAnsi="Comic Sans MS" w:cstheme="minorHAnsi"/>
        </w:rPr>
        <w:t xml:space="preserve">e reste </w:t>
      </w:r>
      <w:r w:rsidR="00BF3A93">
        <w:rPr>
          <w:rFonts w:ascii="Comic Sans MS" w:eastAsiaTheme="minorHAnsi" w:hAnsi="Comic Sans MS" w:cstheme="minorHAnsi"/>
        </w:rPr>
        <w:t xml:space="preserve">souvent </w:t>
      </w:r>
      <w:r w:rsidRPr="00D573E9">
        <w:rPr>
          <w:rFonts w:ascii="Comic Sans MS" w:eastAsiaTheme="minorHAnsi" w:hAnsi="Comic Sans MS" w:cstheme="minorHAnsi"/>
        </w:rPr>
        <w:t xml:space="preserve">fixe indépendamment des prix du marché mondial. </w:t>
      </w:r>
      <w:r w:rsidR="00AA5095" w:rsidRPr="00AA5095">
        <w:rPr>
          <w:rFonts w:ascii="Comic Sans MS" w:eastAsiaTheme="minorHAnsi" w:hAnsi="Comic Sans MS" w:cstheme="minorHAnsi"/>
        </w:rPr>
        <w:t>Ces efforts ont ramen</w:t>
      </w:r>
      <w:r w:rsidR="00BF3A93">
        <w:rPr>
          <w:rFonts w:ascii="Comic Sans MS" w:eastAsiaTheme="minorHAnsi" w:hAnsi="Comic Sans MS" w:cstheme="minorHAnsi"/>
        </w:rPr>
        <w:t>é</w:t>
      </w:r>
      <w:r w:rsidR="00AA5095" w:rsidRPr="00AA5095">
        <w:rPr>
          <w:rFonts w:ascii="Comic Sans MS" w:eastAsiaTheme="minorHAnsi" w:hAnsi="Comic Sans MS" w:cstheme="minorHAnsi"/>
        </w:rPr>
        <w:t xml:space="preserve"> la consommation nationale du gaz butane de </w:t>
      </w:r>
      <w:r w:rsidR="008E426B">
        <w:rPr>
          <w:rFonts w:ascii="Comic Sans MS" w:eastAsiaTheme="minorHAnsi" w:hAnsi="Comic Sans MS" w:cstheme="minorHAnsi"/>
        </w:rPr>
        <w:t>5</w:t>
      </w:r>
      <w:r w:rsidR="00AA5095" w:rsidRPr="00AA5095">
        <w:rPr>
          <w:rFonts w:ascii="Comic Sans MS" w:eastAsiaTheme="minorHAnsi" w:hAnsi="Comic Sans MS" w:cstheme="minorHAnsi"/>
        </w:rPr>
        <w:t xml:space="preserve"> tonnes en 1988, </w:t>
      </w:r>
      <w:r w:rsidR="00BF3A93">
        <w:rPr>
          <w:rFonts w:ascii="Comic Sans MS" w:eastAsiaTheme="minorHAnsi" w:hAnsi="Comic Sans MS" w:cstheme="minorHAnsi"/>
        </w:rPr>
        <w:t>à</w:t>
      </w:r>
      <w:r w:rsidR="00AA5095" w:rsidRPr="00AA5095">
        <w:rPr>
          <w:rFonts w:ascii="Comic Sans MS" w:eastAsiaTheme="minorHAnsi" w:hAnsi="Comic Sans MS" w:cstheme="minorHAnsi"/>
        </w:rPr>
        <w:t xml:space="preserve"> 1</w:t>
      </w:r>
      <w:r w:rsidR="008E426B">
        <w:rPr>
          <w:rFonts w:ascii="Comic Sans MS" w:eastAsiaTheme="minorHAnsi" w:hAnsi="Comic Sans MS" w:cstheme="minorHAnsi"/>
        </w:rPr>
        <w:t>9</w:t>
      </w:r>
      <w:r w:rsidR="00AA5095" w:rsidRPr="00AA5095">
        <w:rPr>
          <w:rFonts w:ascii="Comic Sans MS" w:eastAsiaTheme="minorHAnsi" w:hAnsi="Comic Sans MS" w:cstheme="minorHAnsi"/>
        </w:rPr>
        <w:t xml:space="preserve"> tonnes en 2002</w:t>
      </w:r>
      <w:r w:rsidR="00BF3A93">
        <w:rPr>
          <w:rFonts w:ascii="Comic Sans MS" w:eastAsiaTheme="minorHAnsi" w:hAnsi="Comic Sans MS" w:cstheme="minorHAnsi"/>
        </w:rPr>
        <w:t xml:space="preserve"> et </w:t>
      </w:r>
      <w:r w:rsidR="003D37D1">
        <w:rPr>
          <w:rFonts w:ascii="Comic Sans MS" w:eastAsiaTheme="minorHAnsi" w:hAnsi="Comic Sans MS" w:cstheme="minorHAnsi"/>
        </w:rPr>
        <w:t>71 tonnes en 2020</w:t>
      </w:r>
      <w:r w:rsidR="00AA5095" w:rsidRPr="00AA5095">
        <w:rPr>
          <w:rFonts w:ascii="Comic Sans MS" w:eastAsiaTheme="minorHAnsi" w:hAnsi="Comic Sans MS" w:cstheme="minorHAnsi"/>
        </w:rPr>
        <w:t>, soit un accroissement d</w:t>
      </w:r>
      <w:r w:rsidR="003B2232">
        <w:rPr>
          <w:rFonts w:ascii="Comic Sans MS" w:eastAsiaTheme="minorHAnsi" w:hAnsi="Comic Sans MS" w:cstheme="minorHAnsi"/>
        </w:rPr>
        <w:t>’</w:t>
      </w:r>
      <w:r w:rsidR="00AA5095" w:rsidRPr="00AA5095">
        <w:rPr>
          <w:rFonts w:ascii="Comic Sans MS" w:eastAsiaTheme="minorHAnsi" w:hAnsi="Comic Sans MS" w:cstheme="minorHAnsi"/>
        </w:rPr>
        <w:t xml:space="preserve">environ </w:t>
      </w:r>
      <w:r w:rsidR="008E426B">
        <w:rPr>
          <w:rFonts w:ascii="Comic Sans MS" w:eastAsiaTheme="minorHAnsi" w:hAnsi="Comic Sans MS" w:cstheme="minorHAnsi"/>
        </w:rPr>
        <w:t>70</w:t>
      </w:r>
      <w:r w:rsidR="00AA5095" w:rsidRPr="00AA5095">
        <w:rPr>
          <w:rFonts w:ascii="Comic Sans MS" w:eastAsiaTheme="minorHAnsi" w:hAnsi="Comic Sans MS" w:cstheme="minorHAnsi"/>
        </w:rPr>
        <w:t xml:space="preserve">0 % en </w:t>
      </w:r>
      <w:r w:rsidR="003B2232">
        <w:rPr>
          <w:rFonts w:ascii="Comic Sans MS" w:eastAsiaTheme="minorHAnsi" w:hAnsi="Comic Sans MS" w:cstheme="minorHAnsi"/>
        </w:rPr>
        <w:t>32</w:t>
      </w:r>
      <w:r w:rsidR="00AA5095" w:rsidRPr="00AA5095">
        <w:rPr>
          <w:rFonts w:ascii="Comic Sans MS" w:eastAsiaTheme="minorHAnsi" w:hAnsi="Comic Sans MS" w:cstheme="minorHAnsi"/>
        </w:rPr>
        <w:t xml:space="preserve"> ans.</w:t>
      </w:r>
    </w:p>
    <w:p w14:paraId="7A3149D5" w14:textId="77777777" w:rsidR="003D2263" w:rsidRPr="009F25CF" w:rsidRDefault="003D2263" w:rsidP="003D2263">
      <w:pPr>
        <w:pStyle w:val="Paragraphedeliste"/>
        <w:autoSpaceDE w:val="0"/>
        <w:autoSpaceDN w:val="0"/>
        <w:adjustRightInd w:val="0"/>
        <w:spacing w:before="0"/>
        <w:ind w:left="0" w:firstLine="0"/>
        <w:rPr>
          <w:rFonts w:ascii="Comic Sans MS" w:eastAsiaTheme="minorHAnsi" w:hAnsi="Comic Sans MS" w:cstheme="minorHAnsi"/>
        </w:rPr>
      </w:pPr>
    </w:p>
    <w:p w14:paraId="23B34AFA" w14:textId="53C3CFE3" w:rsidR="004721C3" w:rsidRPr="009F25CF" w:rsidRDefault="00066EA5">
      <w:pPr>
        <w:pStyle w:val="Paragraphedeliste"/>
        <w:numPr>
          <w:ilvl w:val="0"/>
          <w:numId w:val="6"/>
        </w:numPr>
        <w:spacing w:before="0"/>
        <w:rPr>
          <w:rFonts w:ascii="Comic Sans MS" w:eastAsiaTheme="minorHAnsi" w:hAnsi="Comic Sans MS" w:cstheme="minorHAnsi"/>
          <w:b/>
          <w:bCs/>
        </w:rPr>
      </w:pPr>
      <w:r w:rsidRPr="009F25CF">
        <w:rPr>
          <w:rFonts w:ascii="Comic Sans MS" w:eastAsiaTheme="minorHAnsi" w:hAnsi="Comic Sans MS" w:cstheme="minorHAnsi"/>
          <w:b/>
          <w:bCs/>
        </w:rPr>
        <w:t>Dans le cadre de la CDN 2021-2030</w:t>
      </w:r>
    </w:p>
    <w:p w14:paraId="33B22D68" w14:textId="2BDB174D" w:rsidR="00254AB0" w:rsidRDefault="00F51109" w:rsidP="00347610">
      <w:pPr>
        <w:spacing w:before="0" w:after="120"/>
        <w:ind w:left="0" w:firstLine="0"/>
        <w:rPr>
          <w:rFonts w:ascii="Comic Sans MS" w:hAnsi="Comic Sans MS" w:cstheme="minorHAnsi"/>
          <w:sz w:val="24"/>
          <w:szCs w:val="24"/>
        </w:rPr>
      </w:pPr>
      <w:r w:rsidRPr="009F25CF">
        <w:rPr>
          <w:rFonts w:ascii="Comic Sans MS" w:hAnsi="Comic Sans MS" w:cstheme="minorHAnsi"/>
          <w:sz w:val="24"/>
          <w:szCs w:val="24"/>
        </w:rPr>
        <w:t>En 2021,</w:t>
      </w:r>
      <w:r w:rsidR="009366EC" w:rsidRPr="009F25CF">
        <w:rPr>
          <w:rFonts w:ascii="Comic Sans MS" w:hAnsi="Comic Sans MS" w:cstheme="minorHAnsi"/>
          <w:sz w:val="24"/>
          <w:szCs w:val="24"/>
        </w:rPr>
        <w:t xml:space="preserve"> le pays a </w:t>
      </w:r>
      <w:r w:rsidRPr="009F25CF">
        <w:rPr>
          <w:rFonts w:ascii="Comic Sans MS" w:hAnsi="Comic Sans MS" w:cstheme="minorHAnsi"/>
          <w:sz w:val="24"/>
          <w:szCs w:val="24"/>
        </w:rPr>
        <w:t>actualis</w:t>
      </w:r>
      <w:r w:rsidR="009366EC" w:rsidRPr="009F25CF">
        <w:rPr>
          <w:rFonts w:ascii="Comic Sans MS" w:hAnsi="Comic Sans MS" w:cstheme="minorHAnsi"/>
          <w:sz w:val="24"/>
          <w:szCs w:val="24"/>
        </w:rPr>
        <w:t xml:space="preserve">é sa première </w:t>
      </w:r>
      <w:r w:rsidRPr="009F25CF">
        <w:rPr>
          <w:rFonts w:ascii="Comic Sans MS" w:hAnsi="Comic Sans MS" w:cstheme="minorHAnsi"/>
          <w:sz w:val="24"/>
          <w:szCs w:val="24"/>
        </w:rPr>
        <w:t xml:space="preserve">CDN </w:t>
      </w:r>
      <w:r w:rsidR="00005648" w:rsidRPr="009F25CF">
        <w:rPr>
          <w:rFonts w:ascii="Comic Sans MS" w:hAnsi="Comic Sans MS" w:cstheme="minorHAnsi"/>
          <w:sz w:val="24"/>
          <w:szCs w:val="24"/>
        </w:rPr>
        <w:t xml:space="preserve">qui était </w:t>
      </w:r>
      <w:r w:rsidR="009366EC" w:rsidRPr="009F25CF">
        <w:rPr>
          <w:rFonts w:ascii="Comic Sans MS" w:hAnsi="Comic Sans MS" w:cstheme="minorHAnsi"/>
          <w:sz w:val="24"/>
          <w:szCs w:val="24"/>
        </w:rPr>
        <w:t>mis en œuvre dans le cadre d</w:t>
      </w:r>
      <w:r w:rsidRPr="009F25CF">
        <w:rPr>
          <w:rFonts w:ascii="Comic Sans MS" w:hAnsi="Comic Sans MS" w:cstheme="minorHAnsi"/>
          <w:sz w:val="24"/>
          <w:szCs w:val="24"/>
        </w:rPr>
        <w:t>u premier quinquennat de la SCAPP (2015-2020)</w:t>
      </w:r>
      <w:r w:rsidR="009366EC" w:rsidRPr="009F25CF">
        <w:rPr>
          <w:rFonts w:ascii="Comic Sans MS" w:hAnsi="Comic Sans MS" w:cstheme="minorHAnsi"/>
          <w:sz w:val="24"/>
          <w:szCs w:val="24"/>
        </w:rPr>
        <w:t xml:space="preserve">. </w:t>
      </w:r>
      <w:r w:rsidR="00254AB0">
        <w:rPr>
          <w:rFonts w:ascii="Comic Sans MS" w:hAnsi="Comic Sans MS" w:cstheme="minorHAnsi"/>
          <w:sz w:val="24"/>
          <w:szCs w:val="24"/>
        </w:rPr>
        <w:t>L</w:t>
      </w:r>
      <w:r w:rsidR="00C81E52" w:rsidRPr="009F25CF">
        <w:rPr>
          <w:rFonts w:ascii="Comic Sans MS" w:hAnsi="Comic Sans MS" w:cstheme="minorHAnsi"/>
          <w:sz w:val="24"/>
          <w:szCs w:val="24"/>
        </w:rPr>
        <w:t>’a</w:t>
      </w:r>
      <w:r w:rsidR="00D86C09" w:rsidRPr="009F25CF">
        <w:rPr>
          <w:rFonts w:ascii="Comic Sans MS" w:hAnsi="Comic Sans MS" w:cstheme="minorHAnsi"/>
          <w:sz w:val="24"/>
          <w:szCs w:val="24"/>
        </w:rPr>
        <w:t xml:space="preserve">mbition de la </w:t>
      </w:r>
      <w:r w:rsidR="00C81E52" w:rsidRPr="009F25CF">
        <w:rPr>
          <w:rFonts w:ascii="Comic Sans MS" w:hAnsi="Comic Sans MS" w:cstheme="minorHAnsi"/>
          <w:sz w:val="24"/>
          <w:szCs w:val="24"/>
        </w:rPr>
        <w:t xml:space="preserve">seconde </w:t>
      </w:r>
      <w:r w:rsidR="00D86C09" w:rsidRPr="009F25CF">
        <w:rPr>
          <w:rFonts w:ascii="Comic Sans MS" w:hAnsi="Comic Sans MS" w:cstheme="minorHAnsi"/>
          <w:sz w:val="24"/>
          <w:szCs w:val="24"/>
        </w:rPr>
        <w:t xml:space="preserve">CDN </w:t>
      </w:r>
      <w:r w:rsidR="00C81E52" w:rsidRPr="009F25CF">
        <w:rPr>
          <w:rFonts w:ascii="Comic Sans MS" w:hAnsi="Comic Sans MS" w:cstheme="minorHAnsi"/>
          <w:sz w:val="24"/>
          <w:szCs w:val="24"/>
        </w:rPr>
        <w:t xml:space="preserve">a prévu </w:t>
      </w:r>
      <w:r w:rsidR="00D86C09" w:rsidRPr="009F25CF">
        <w:rPr>
          <w:rFonts w:ascii="Comic Sans MS" w:hAnsi="Comic Sans MS" w:cstheme="minorHAnsi"/>
          <w:sz w:val="24"/>
          <w:szCs w:val="24"/>
        </w:rPr>
        <w:t>une</w:t>
      </w:r>
      <w:r w:rsidR="00BB6910" w:rsidRPr="009F25CF">
        <w:rPr>
          <w:rFonts w:ascii="Comic Sans MS" w:hAnsi="Comic Sans MS" w:cstheme="minorHAnsi"/>
          <w:sz w:val="24"/>
          <w:szCs w:val="24"/>
        </w:rPr>
        <w:t xml:space="preserve"> séquestration nette</w:t>
      </w:r>
      <w:r w:rsidR="00D86C09" w:rsidRPr="009F25CF">
        <w:rPr>
          <w:rFonts w:ascii="Comic Sans MS" w:hAnsi="Comic Sans MS" w:cstheme="minorHAnsi"/>
          <w:sz w:val="24"/>
          <w:szCs w:val="24"/>
        </w:rPr>
        <w:t xml:space="preserve"> </w:t>
      </w:r>
      <w:r w:rsidR="00BB6910" w:rsidRPr="009F25CF">
        <w:rPr>
          <w:rFonts w:ascii="Comic Sans MS" w:hAnsi="Comic Sans MS" w:cstheme="minorHAnsi"/>
          <w:sz w:val="24"/>
          <w:szCs w:val="24"/>
        </w:rPr>
        <w:t xml:space="preserve">de </w:t>
      </w:r>
      <w:r w:rsidR="00254AB0" w:rsidRPr="00254AB0">
        <w:rPr>
          <w:rFonts w:ascii="Comic Sans MS" w:hAnsi="Comic Sans MS" w:cstheme="minorHAnsi"/>
          <w:sz w:val="24"/>
          <w:szCs w:val="24"/>
        </w:rPr>
        <w:t>1 181,46</w:t>
      </w:r>
      <w:r w:rsidR="00BB6910" w:rsidRPr="009F25CF">
        <w:rPr>
          <w:rFonts w:ascii="Comic Sans MS" w:hAnsi="Comic Sans MS" w:cstheme="minorHAnsi"/>
          <w:sz w:val="24"/>
          <w:szCs w:val="24"/>
        </w:rPr>
        <w:t xml:space="preserve"> </w:t>
      </w:r>
      <w:proofErr w:type="spellStart"/>
      <w:r w:rsidR="00BB6910" w:rsidRPr="009F25CF">
        <w:rPr>
          <w:rFonts w:ascii="Comic Sans MS" w:hAnsi="Comic Sans MS" w:cstheme="minorHAnsi"/>
          <w:sz w:val="24"/>
          <w:szCs w:val="24"/>
        </w:rPr>
        <w:t>Gg</w:t>
      </w:r>
      <w:proofErr w:type="spellEnd"/>
      <w:r w:rsidR="00BB6910" w:rsidRPr="009F25CF">
        <w:rPr>
          <w:rFonts w:ascii="Comic Sans MS" w:hAnsi="Comic Sans MS" w:cstheme="minorHAnsi"/>
          <w:sz w:val="24"/>
          <w:szCs w:val="24"/>
        </w:rPr>
        <w:t xml:space="preserve"> CO</w:t>
      </w:r>
      <w:r w:rsidR="00BB6910" w:rsidRPr="009F25CF">
        <w:rPr>
          <w:rFonts w:ascii="Comic Sans MS" w:hAnsi="Comic Sans MS" w:cstheme="minorHAnsi"/>
          <w:sz w:val="24"/>
          <w:szCs w:val="24"/>
          <w:vertAlign w:val="subscript"/>
        </w:rPr>
        <w:t>2</w:t>
      </w:r>
      <w:r w:rsidR="00BB6910" w:rsidRPr="009F25CF">
        <w:rPr>
          <w:rFonts w:ascii="Comic Sans MS" w:hAnsi="Comic Sans MS" w:cstheme="minorHAnsi"/>
          <w:sz w:val="24"/>
          <w:szCs w:val="24"/>
        </w:rPr>
        <w:t xml:space="preserve"> pour la période 2020-2030</w:t>
      </w:r>
      <w:r w:rsidR="00254AB0">
        <w:rPr>
          <w:rFonts w:ascii="Comic Sans MS" w:hAnsi="Comic Sans MS" w:cstheme="minorHAnsi"/>
          <w:sz w:val="24"/>
          <w:szCs w:val="24"/>
        </w:rPr>
        <w:t xml:space="preserve"> à travers : </w:t>
      </w:r>
      <w:r w:rsidR="007824A4" w:rsidRPr="009F25CF">
        <w:rPr>
          <w:rFonts w:ascii="Comic Sans MS" w:hAnsi="Comic Sans MS" w:cstheme="minorHAnsi"/>
          <w:sz w:val="24"/>
          <w:szCs w:val="24"/>
        </w:rPr>
        <w:t xml:space="preserve"> </w:t>
      </w:r>
    </w:p>
    <w:p w14:paraId="6897B379" w14:textId="28027EEE" w:rsidR="00254AB0" w:rsidRPr="00254AB0" w:rsidRDefault="00254AB0">
      <w:pPr>
        <w:pStyle w:val="Paragraphedeliste"/>
        <w:numPr>
          <w:ilvl w:val="0"/>
          <w:numId w:val="18"/>
        </w:numPr>
        <w:spacing w:before="0"/>
        <w:contextualSpacing w:val="0"/>
        <w:rPr>
          <w:rFonts w:ascii="Comic Sans MS" w:hAnsi="Comic Sans MS"/>
        </w:rPr>
      </w:pPr>
      <w:r w:rsidRPr="00254AB0">
        <w:rPr>
          <w:rFonts w:ascii="Comic Sans MS" w:hAnsi="Comic Sans MS"/>
        </w:rPr>
        <w:t xml:space="preserve">Poêles à charbon de bois efficaces </w:t>
      </w:r>
      <w:r w:rsidR="00294F73">
        <w:rPr>
          <w:rFonts w:ascii="Comic Sans MS" w:hAnsi="Comic Sans MS"/>
        </w:rPr>
        <w:t>visant la d</w:t>
      </w:r>
      <w:r w:rsidRPr="00254AB0">
        <w:rPr>
          <w:rFonts w:ascii="Comic Sans MS" w:hAnsi="Comic Sans MS"/>
        </w:rPr>
        <w:t>iffusion de 150</w:t>
      </w:r>
      <w:r w:rsidR="00064556">
        <w:rPr>
          <w:rFonts w:ascii="Comic Sans MS" w:hAnsi="Comic Sans MS"/>
        </w:rPr>
        <w:t>.</w:t>
      </w:r>
      <w:r w:rsidRPr="00254AB0">
        <w:rPr>
          <w:rFonts w:ascii="Comic Sans MS" w:hAnsi="Comic Sans MS"/>
        </w:rPr>
        <w:t>000 foyers améliorés d’ici 2030</w:t>
      </w:r>
      <w:r w:rsidR="00330C2F">
        <w:rPr>
          <w:rFonts w:ascii="Comic Sans MS" w:hAnsi="Comic Sans MS"/>
        </w:rPr>
        <w:t>.</w:t>
      </w:r>
    </w:p>
    <w:p w14:paraId="1ECD2591" w14:textId="26F637EE" w:rsidR="00254AB0" w:rsidRPr="00254AB0" w:rsidRDefault="00254AB0">
      <w:pPr>
        <w:pStyle w:val="Paragraphedeliste"/>
        <w:numPr>
          <w:ilvl w:val="0"/>
          <w:numId w:val="18"/>
        </w:numPr>
        <w:spacing w:before="0"/>
        <w:contextualSpacing w:val="0"/>
        <w:rPr>
          <w:rFonts w:ascii="Comic Sans MS" w:hAnsi="Comic Sans MS"/>
        </w:rPr>
      </w:pPr>
      <w:r w:rsidRPr="00254AB0">
        <w:rPr>
          <w:rFonts w:ascii="Comic Sans MS" w:hAnsi="Comic Sans MS"/>
        </w:rPr>
        <w:t xml:space="preserve">GPL remplaçant le bois </w:t>
      </w:r>
      <w:r w:rsidR="00294F73">
        <w:rPr>
          <w:rFonts w:ascii="Comic Sans MS" w:hAnsi="Comic Sans MS"/>
        </w:rPr>
        <w:t>visant la d</w:t>
      </w:r>
      <w:r w:rsidRPr="00254AB0">
        <w:rPr>
          <w:rFonts w:ascii="Comic Sans MS" w:hAnsi="Comic Sans MS"/>
        </w:rPr>
        <w:t>iffusion de 170</w:t>
      </w:r>
      <w:r w:rsidR="00294F73">
        <w:rPr>
          <w:rFonts w:ascii="Comic Sans MS" w:hAnsi="Comic Sans MS"/>
        </w:rPr>
        <w:t>.</w:t>
      </w:r>
      <w:r w:rsidRPr="00254AB0">
        <w:rPr>
          <w:rFonts w:ascii="Comic Sans MS" w:hAnsi="Comic Sans MS"/>
        </w:rPr>
        <w:t xml:space="preserve">000 </w:t>
      </w:r>
      <w:r w:rsidR="00294F73">
        <w:rPr>
          <w:rFonts w:ascii="Comic Sans MS" w:hAnsi="Comic Sans MS"/>
        </w:rPr>
        <w:t>kit</w:t>
      </w:r>
      <w:r w:rsidRPr="00254AB0">
        <w:rPr>
          <w:rFonts w:ascii="Comic Sans MS" w:hAnsi="Comic Sans MS"/>
        </w:rPr>
        <w:t xml:space="preserve">s à GPL </w:t>
      </w:r>
      <w:r w:rsidR="00294F73">
        <w:rPr>
          <w:rFonts w:ascii="Comic Sans MS" w:hAnsi="Comic Sans MS"/>
        </w:rPr>
        <w:t xml:space="preserve">(gaz butane) </w:t>
      </w:r>
      <w:r w:rsidRPr="00254AB0">
        <w:rPr>
          <w:rFonts w:ascii="Comic Sans MS" w:hAnsi="Comic Sans MS"/>
        </w:rPr>
        <w:t>d’ici 2030</w:t>
      </w:r>
    </w:p>
    <w:p w14:paraId="5EFDB0DE" w14:textId="77777777" w:rsidR="00254AB0" w:rsidRDefault="00254AB0" w:rsidP="00254AB0">
      <w:pPr>
        <w:spacing w:before="0"/>
        <w:ind w:left="0" w:firstLine="0"/>
        <w:rPr>
          <w:rFonts w:ascii="Comic Sans MS" w:hAnsi="Comic Sans MS" w:cstheme="minorHAnsi"/>
          <w:sz w:val="24"/>
          <w:szCs w:val="24"/>
        </w:rPr>
      </w:pPr>
    </w:p>
    <w:p w14:paraId="5B51F47F" w14:textId="02CC4895" w:rsidR="00BF59AF" w:rsidRPr="009F25CF" w:rsidRDefault="00294F73" w:rsidP="00294F73">
      <w:pPr>
        <w:pStyle w:val="Paragraphedeliste"/>
        <w:spacing w:before="0"/>
        <w:ind w:left="0" w:firstLine="0"/>
        <w:contextualSpacing w:val="0"/>
        <w:rPr>
          <w:rFonts w:ascii="Comic Sans MS" w:hAnsi="Comic Sans MS" w:cstheme="minorHAnsi"/>
        </w:rPr>
      </w:pPr>
      <w:r>
        <w:rPr>
          <w:rFonts w:ascii="Comic Sans MS" w:hAnsi="Comic Sans MS" w:cstheme="minorHAnsi"/>
        </w:rPr>
        <w:t>La</w:t>
      </w:r>
      <w:r w:rsidRPr="009F25CF">
        <w:rPr>
          <w:rFonts w:ascii="Comic Sans MS" w:hAnsi="Comic Sans MS" w:cstheme="minorHAnsi"/>
        </w:rPr>
        <w:t xml:space="preserve"> mise en œuvre des mesures d’atténuation des GES</w:t>
      </w:r>
      <w:r>
        <w:rPr>
          <w:rFonts w:ascii="Comic Sans MS" w:hAnsi="Comic Sans MS" w:cstheme="minorHAnsi"/>
        </w:rPr>
        <w:t xml:space="preserve">, ci-dessus, </w:t>
      </w:r>
      <w:r w:rsidRPr="009F25CF">
        <w:rPr>
          <w:rFonts w:ascii="Comic Sans MS" w:hAnsi="Comic Sans MS" w:cstheme="minorHAnsi"/>
        </w:rPr>
        <w:t>de la seconde CDN (2021-2030), a été fortement impacté par la pandémie de la COVID-19 déclenchée en 2020. La paralysie de l’activité économique associés à une conjoncture internationale peu favorable, ont engendré des effets négatifs sur les finances publiques et internationales à ces mesures.</w:t>
      </w:r>
      <w:r>
        <w:rPr>
          <w:rFonts w:ascii="Comic Sans MS" w:hAnsi="Comic Sans MS" w:cstheme="minorHAnsi"/>
        </w:rPr>
        <w:t xml:space="preserve"> </w:t>
      </w:r>
      <w:r w:rsidR="009E15B9" w:rsidRPr="009F25CF">
        <w:rPr>
          <w:rFonts w:ascii="Comic Sans MS" w:hAnsi="Comic Sans MS" w:cstheme="minorHAnsi"/>
        </w:rPr>
        <w:t>M</w:t>
      </w:r>
      <w:r w:rsidR="00344D86" w:rsidRPr="009F25CF">
        <w:rPr>
          <w:rFonts w:ascii="Comic Sans MS" w:hAnsi="Comic Sans MS" w:cstheme="minorHAnsi"/>
        </w:rPr>
        <w:t>algré la volonté politique</w:t>
      </w:r>
      <w:r w:rsidR="009E15B9" w:rsidRPr="009F25CF">
        <w:rPr>
          <w:rFonts w:ascii="Comic Sans MS" w:hAnsi="Comic Sans MS" w:cstheme="minorHAnsi"/>
        </w:rPr>
        <w:t xml:space="preserve"> </w:t>
      </w:r>
      <w:r w:rsidR="00BF59AF" w:rsidRPr="009F25CF">
        <w:rPr>
          <w:rFonts w:ascii="Comic Sans MS" w:hAnsi="Comic Sans MS" w:cstheme="minorHAnsi"/>
        </w:rPr>
        <w:t xml:space="preserve">du pays </w:t>
      </w:r>
      <w:r w:rsidR="009E15B9" w:rsidRPr="009F25CF">
        <w:rPr>
          <w:rFonts w:ascii="Comic Sans MS" w:hAnsi="Comic Sans MS" w:cstheme="minorHAnsi"/>
        </w:rPr>
        <w:t xml:space="preserve">traduite </w:t>
      </w:r>
      <w:r>
        <w:rPr>
          <w:rFonts w:ascii="Comic Sans MS" w:hAnsi="Comic Sans MS" w:cstheme="minorHAnsi"/>
        </w:rPr>
        <w:t xml:space="preserve">par </w:t>
      </w:r>
      <w:r w:rsidR="009E15B9" w:rsidRPr="009F25CF">
        <w:rPr>
          <w:rFonts w:ascii="Comic Sans MS" w:hAnsi="Comic Sans MS" w:cstheme="minorHAnsi"/>
        </w:rPr>
        <w:t xml:space="preserve">la mise en œuvre </w:t>
      </w:r>
      <w:r w:rsidR="00254AB0">
        <w:rPr>
          <w:rFonts w:ascii="Comic Sans MS" w:hAnsi="Comic Sans MS" w:cstheme="minorHAnsi"/>
        </w:rPr>
        <w:t xml:space="preserve">d’une politique de </w:t>
      </w:r>
      <w:proofErr w:type="spellStart"/>
      <w:r w:rsidR="00254AB0">
        <w:rPr>
          <w:rFonts w:ascii="Comic Sans MS" w:hAnsi="Comic Sans MS" w:cstheme="minorHAnsi"/>
        </w:rPr>
        <w:t>butanisation</w:t>
      </w:r>
      <w:proofErr w:type="spellEnd"/>
      <w:r>
        <w:rPr>
          <w:rFonts w:ascii="Comic Sans MS" w:hAnsi="Comic Sans MS" w:cstheme="minorHAnsi"/>
        </w:rPr>
        <w:t xml:space="preserve"> libérale </w:t>
      </w:r>
      <w:r w:rsidR="00254AB0">
        <w:rPr>
          <w:rFonts w:ascii="Comic Sans MS" w:hAnsi="Comic Sans MS" w:cstheme="minorHAnsi"/>
        </w:rPr>
        <w:t>d</w:t>
      </w:r>
      <w:r w:rsidR="00830F89">
        <w:rPr>
          <w:rFonts w:ascii="Comic Sans MS" w:hAnsi="Comic Sans MS" w:cstheme="minorHAnsi"/>
        </w:rPr>
        <w:t xml:space="preserve">e cette filière </w:t>
      </w:r>
      <w:r w:rsidR="00254AB0">
        <w:rPr>
          <w:rFonts w:ascii="Comic Sans MS" w:hAnsi="Comic Sans MS" w:cstheme="minorHAnsi"/>
        </w:rPr>
        <w:t xml:space="preserve">en particulier les activités de </w:t>
      </w:r>
      <w:r w:rsidR="00254AB0" w:rsidRPr="00BF3A93">
        <w:rPr>
          <w:rFonts w:ascii="Comic Sans MS" w:eastAsiaTheme="minorHAnsi" w:hAnsi="Comic Sans MS" w:cstheme="minorHAnsi"/>
        </w:rPr>
        <w:t xml:space="preserve">l’importation, le stockage, l’enfûtage, </w:t>
      </w:r>
      <w:r w:rsidR="00254AB0">
        <w:rPr>
          <w:rFonts w:ascii="Comic Sans MS" w:eastAsiaTheme="minorHAnsi" w:hAnsi="Comic Sans MS" w:cstheme="minorHAnsi"/>
        </w:rPr>
        <w:t xml:space="preserve">le transport, </w:t>
      </w:r>
      <w:r w:rsidR="00254AB0" w:rsidRPr="00BF3A93">
        <w:rPr>
          <w:rFonts w:ascii="Comic Sans MS" w:eastAsiaTheme="minorHAnsi" w:hAnsi="Comic Sans MS" w:cstheme="minorHAnsi"/>
        </w:rPr>
        <w:t>la distribution et la commercialisation du gaz butane</w:t>
      </w:r>
      <w:r w:rsidR="009E15B9" w:rsidRPr="009F25CF">
        <w:rPr>
          <w:rFonts w:ascii="Comic Sans MS" w:hAnsi="Comic Sans MS" w:cstheme="minorHAnsi"/>
        </w:rPr>
        <w:t xml:space="preserve">, le résultat obtenu </w:t>
      </w:r>
      <w:r w:rsidR="00344D86" w:rsidRPr="009F25CF">
        <w:rPr>
          <w:rFonts w:ascii="Comic Sans MS" w:hAnsi="Comic Sans MS" w:cstheme="minorHAnsi"/>
        </w:rPr>
        <w:t>n’a pas permis</w:t>
      </w:r>
      <w:r w:rsidR="00BF59AF" w:rsidRPr="009F25CF">
        <w:rPr>
          <w:rFonts w:ascii="Comic Sans MS" w:hAnsi="Comic Sans MS" w:cstheme="minorHAnsi"/>
        </w:rPr>
        <w:t xml:space="preserve"> </w:t>
      </w:r>
      <w:r w:rsidR="00344D86" w:rsidRPr="009F25CF">
        <w:rPr>
          <w:rFonts w:ascii="Comic Sans MS" w:hAnsi="Comic Sans MS" w:cstheme="minorHAnsi"/>
        </w:rPr>
        <w:t xml:space="preserve">d’atteindre l’objectif </w:t>
      </w:r>
      <w:r w:rsidR="00254AB0">
        <w:rPr>
          <w:rFonts w:ascii="Comic Sans MS" w:hAnsi="Comic Sans MS" w:cstheme="minorHAnsi"/>
        </w:rPr>
        <w:t>escompté</w:t>
      </w:r>
      <w:r>
        <w:rPr>
          <w:rFonts w:ascii="Comic Sans MS" w:hAnsi="Comic Sans MS" w:cstheme="minorHAnsi"/>
        </w:rPr>
        <w:t>.</w:t>
      </w:r>
      <w:r w:rsidR="00BF59AF" w:rsidRPr="009F25CF">
        <w:rPr>
          <w:rFonts w:ascii="Comic Sans MS" w:hAnsi="Comic Sans MS" w:cstheme="minorHAnsi"/>
        </w:rPr>
        <w:t xml:space="preserve"> </w:t>
      </w:r>
    </w:p>
    <w:p w14:paraId="124E6BE9" w14:textId="77777777" w:rsidR="00294F73" w:rsidRDefault="00294F73" w:rsidP="007824A4">
      <w:pPr>
        <w:pStyle w:val="Paragraphedeliste"/>
        <w:spacing w:before="0"/>
        <w:ind w:left="0" w:firstLine="0"/>
        <w:contextualSpacing w:val="0"/>
        <w:rPr>
          <w:rFonts w:ascii="Comic Sans MS" w:hAnsi="Comic Sans MS" w:cstheme="minorHAnsi"/>
        </w:rPr>
      </w:pPr>
    </w:p>
    <w:p w14:paraId="30A8627A" w14:textId="77777777" w:rsidR="001231C9" w:rsidRPr="009F25CF" w:rsidRDefault="001231C9" w:rsidP="007824A4">
      <w:pPr>
        <w:pStyle w:val="Paragraphedeliste"/>
        <w:spacing w:before="0"/>
        <w:ind w:left="0" w:firstLine="0"/>
        <w:contextualSpacing w:val="0"/>
        <w:rPr>
          <w:rFonts w:ascii="Comic Sans MS" w:hAnsi="Comic Sans MS" w:cstheme="minorHAnsi"/>
        </w:rPr>
      </w:pPr>
    </w:p>
    <w:p w14:paraId="6C4EE4D0" w14:textId="65972FD6" w:rsidR="00D02119" w:rsidRPr="009F25CF" w:rsidRDefault="00EA3D1B">
      <w:pPr>
        <w:pStyle w:val="Titre1"/>
        <w:numPr>
          <w:ilvl w:val="1"/>
          <w:numId w:val="9"/>
        </w:numPr>
        <w:bidi w:val="0"/>
        <w:spacing w:before="0"/>
        <w:ind w:left="426"/>
        <w:jc w:val="left"/>
        <w:rPr>
          <w:rFonts w:ascii="Comic Sans MS" w:hAnsi="Comic Sans MS" w:cstheme="minorHAnsi"/>
          <w:sz w:val="24"/>
          <w:szCs w:val="24"/>
          <w:lang w:val="fr-FR"/>
        </w:rPr>
      </w:pPr>
      <w:r w:rsidRPr="009F25CF">
        <w:rPr>
          <w:rFonts w:ascii="Comic Sans MS" w:hAnsi="Comic Sans MS" w:cstheme="minorHAnsi"/>
          <w:sz w:val="24"/>
          <w:szCs w:val="24"/>
          <w:lang w:val="fr-FR"/>
        </w:rPr>
        <w:t xml:space="preserve">  </w:t>
      </w:r>
      <w:bookmarkStart w:id="23" w:name="_Toc166937617"/>
      <w:r w:rsidR="001F120E" w:rsidRPr="009F25CF">
        <w:rPr>
          <w:rFonts w:ascii="Comic Sans MS" w:hAnsi="Comic Sans MS" w:cstheme="minorHAnsi"/>
          <w:sz w:val="24"/>
          <w:szCs w:val="24"/>
          <w:lang w:val="fr-FR"/>
        </w:rPr>
        <w:t xml:space="preserve">Mesures </w:t>
      </w:r>
      <w:r w:rsidR="00D02119" w:rsidRPr="009F25CF">
        <w:rPr>
          <w:rFonts w:ascii="Comic Sans MS" w:hAnsi="Comic Sans MS" w:cstheme="minorHAnsi"/>
          <w:sz w:val="24"/>
          <w:szCs w:val="24"/>
          <w:lang w:val="fr-FR"/>
        </w:rPr>
        <w:t xml:space="preserve">d’atténuation </w:t>
      </w:r>
      <w:r w:rsidR="001F120E" w:rsidRPr="009F25CF">
        <w:rPr>
          <w:rFonts w:ascii="Comic Sans MS" w:hAnsi="Comic Sans MS" w:cstheme="minorHAnsi"/>
          <w:sz w:val="24"/>
          <w:szCs w:val="24"/>
          <w:lang w:val="fr-FR"/>
        </w:rPr>
        <w:t xml:space="preserve">de la période </w:t>
      </w:r>
      <w:r w:rsidR="00D02119" w:rsidRPr="009F25CF">
        <w:rPr>
          <w:rFonts w:ascii="Comic Sans MS" w:hAnsi="Comic Sans MS" w:cstheme="minorHAnsi"/>
          <w:sz w:val="24"/>
          <w:szCs w:val="24"/>
          <w:lang w:val="fr-FR"/>
        </w:rPr>
        <w:t>2010-2020</w:t>
      </w:r>
      <w:bookmarkEnd w:id="23"/>
      <w:r w:rsidR="00D02119" w:rsidRPr="009F25CF">
        <w:rPr>
          <w:rFonts w:ascii="Comic Sans MS" w:hAnsi="Comic Sans MS" w:cstheme="minorHAnsi"/>
          <w:sz w:val="24"/>
          <w:szCs w:val="24"/>
          <w:lang w:val="fr-FR"/>
        </w:rPr>
        <w:t> </w:t>
      </w:r>
    </w:p>
    <w:p w14:paraId="7A2C81E4" w14:textId="28D3B861" w:rsidR="00075BE0" w:rsidRPr="009F25CF" w:rsidRDefault="00D02119" w:rsidP="009B613F">
      <w:pPr>
        <w:autoSpaceDE w:val="0"/>
        <w:autoSpaceDN w:val="0"/>
        <w:adjustRightInd w:val="0"/>
        <w:spacing w:before="0"/>
        <w:ind w:left="0" w:firstLine="0"/>
        <w:rPr>
          <w:rFonts w:ascii="Comic Sans MS" w:eastAsiaTheme="minorHAnsi" w:hAnsi="Comic Sans MS" w:cs="Calibri"/>
          <w:sz w:val="24"/>
          <w:szCs w:val="24"/>
        </w:rPr>
      </w:pPr>
      <w:r w:rsidRPr="009F25CF">
        <w:rPr>
          <w:rFonts w:ascii="Comic Sans MS" w:eastAsiaTheme="minorHAnsi" w:hAnsi="Comic Sans MS" w:cs="Calibri"/>
          <w:sz w:val="24"/>
          <w:szCs w:val="24"/>
        </w:rPr>
        <w:t>L</w:t>
      </w:r>
      <w:r w:rsidR="00330C2F">
        <w:rPr>
          <w:rFonts w:ascii="Comic Sans MS" w:eastAsiaTheme="minorHAnsi" w:hAnsi="Comic Sans MS" w:cs="Calibri"/>
          <w:sz w:val="24"/>
          <w:szCs w:val="24"/>
        </w:rPr>
        <w:t>es mesures d’atténuation du sous-secteur énergies résidentielles</w:t>
      </w:r>
      <w:r w:rsidR="005D1F35">
        <w:rPr>
          <w:rFonts w:ascii="Comic Sans MS" w:eastAsiaTheme="minorHAnsi" w:hAnsi="Comic Sans MS" w:cs="Calibri"/>
          <w:sz w:val="24"/>
          <w:szCs w:val="24"/>
        </w:rPr>
        <w:t xml:space="preserve">, ci-après, </w:t>
      </w:r>
      <w:r w:rsidR="00330C2F">
        <w:rPr>
          <w:rFonts w:ascii="Comic Sans MS" w:eastAsiaTheme="minorHAnsi" w:hAnsi="Comic Sans MS" w:cs="Calibri"/>
          <w:sz w:val="24"/>
          <w:szCs w:val="24"/>
        </w:rPr>
        <w:t xml:space="preserve">ont été identifiées parmi les </w:t>
      </w:r>
      <w:r w:rsidR="0015272A" w:rsidRPr="009F25CF">
        <w:rPr>
          <w:rFonts w:ascii="Comic Sans MS" w:eastAsiaTheme="minorHAnsi" w:hAnsi="Comic Sans MS" w:cs="Calibri"/>
          <w:sz w:val="24"/>
          <w:szCs w:val="24"/>
        </w:rPr>
        <w:t xml:space="preserve">différentes </w:t>
      </w:r>
      <w:r w:rsidR="00623D89" w:rsidRPr="009F25CF">
        <w:rPr>
          <w:rFonts w:ascii="Comic Sans MS" w:eastAsiaTheme="minorHAnsi" w:hAnsi="Comic Sans MS" w:cs="Calibri"/>
          <w:sz w:val="24"/>
          <w:szCs w:val="24"/>
        </w:rPr>
        <w:t xml:space="preserve">mesures </w:t>
      </w:r>
      <w:r w:rsidR="005B7AE4" w:rsidRPr="009F25CF">
        <w:rPr>
          <w:rFonts w:ascii="Comic Sans MS" w:eastAsiaTheme="minorHAnsi" w:hAnsi="Comic Sans MS" w:cs="Calibri"/>
          <w:sz w:val="24"/>
          <w:szCs w:val="24"/>
        </w:rPr>
        <w:t xml:space="preserve">susceptibles d’avoir un impact sur l’émission du </w:t>
      </w:r>
      <w:r w:rsidR="005D1F35">
        <w:rPr>
          <w:rFonts w:ascii="Comic Sans MS" w:eastAsiaTheme="minorHAnsi" w:hAnsi="Comic Sans MS" w:cs="Calibri"/>
          <w:sz w:val="24"/>
          <w:szCs w:val="24"/>
        </w:rPr>
        <w:t xml:space="preserve">GES </w:t>
      </w:r>
      <w:r w:rsidR="00E72214" w:rsidRPr="009F25CF">
        <w:rPr>
          <w:rFonts w:ascii="Comic Sans MS" w:eastAsiaTheme="minorHAnsi" w:hAnsi="Comic Sans MS" w:cs="Calibri"/>
          <w:sz w:val="24"/>
          <w:szCs w:val="24"/>
        </w:rPr>
        <w:t>au niveau national</w:t>
      </w:r>
      <w:r w:rsidR="005D1F35" w:rsidRPr="005D1F35">
        <w:rPr>
          <w:rFonts w:ascii="Comic Sans MS" w:eastAsiaTheme="minorHAnsi" w:hAnsi="Comic Sans MS" w:cs="Calibri"/>
          <w:sz w:val="24"/>
          <w:szCs w:val="24"/>
        </w:rPr>
        <w:t xml:space="preserve"> </w:t>
      </w:r>
      <w:r w:rsidR="005D1F35">
        <w:rPr>
          <w:rFonts w:ascii="Comic Sans MS" w:eastAsiaTheme="minorHAnsi" w:hAnsi="Comic Sans MS" w:cs="Calibri"/>
          <w:sz w:val="24"/>
          <w:szCs w:val="24"/>
        </w:rPr>
        <w:t>durant la période</w:t>
      </w:r>
      <w:r w:rsidR="005D1F35" w:rsidRPr="009F25CF">
        <w:rPr>
          <w:rFonts w:ascii="Comic Sans MS" w:eastAsiaTheme="minorHAnsi" w:hAnsi="Comic Sans MS" w:cs="Calibri"/>
          <w:sz w:val="24"/>
          <w:szCs w:val="24"/>
        </w:rPr>
        <w:t xml:space="preserve"> 2010-2020</w:t>
      </w:r>
      <w:r w:rsidR="005B7AE4" w:rsidRPr="009F25CF">
        <w:rPr>
          <w:rFonts w:ascii="Comic Sans MS" w:eastAsiaTheme="minorHAnsi" w:hAnsi="Comic Sans MS" w:cs="Calibri"/>
          <w:sz w:val="24"/>
          <w:szCs w:val="24"/>
        </w:rPr>
        <w:t xml:space="preserve">. </w:t>
      </w:r>
      <w:r w:rsidR="009B613F" w:rsidRPr="009F25CF">
        <w:rPr>
          <w:rFonts w:ascii="Comic Sans MS" w:eastAsiaTheme="minorHAnsi" w:hAnsi="Comic Sans MS" w:cs="Calibri"/>
          <w:sz w:val="24"/>
          <w:szCs w:val="24"/>
        </w:rPr>
        <w:t>Concernant l’</w:t>
      </w:r>
      <w:r w:rsidR="00075BE0" w:rsidRPr="009F25CF">
        <w:rPr>
          <w:rFonts w:ascii="Comic Sans MS" w:eastAsiaTheme="minorHAnsi" w:hAnsi="Comic Sans MS" w:cs="Calibri"/>
          <w:sz w:val="24"/>
          <w:szCs w:val="24"/>
        </w:rPr>
        <w:t>évaluation des impacts</w:t>
      </w:r>
      <w:r w:rsidR="009B613F" w:rsidRPr="009F25CF">
        <w:rPr>
          <w:rFonts w:ascii="Comic Sans MS" w:eastAsiaTheme="minorHAnsi" w:hAnsi="Comic Sans MS" w:cs="Calibri"/>
          <w:sz w:val="24"/>
          <w:szCs w:val="24"/>
        </w:rPr>
        <w:t xml:space="preserve"> desdites mesures d’atténuation, il a été basé sur </w:t>
      </w:r>
      <w:r w:rsidR="00075BE0" w:rsidRPr="009F25CF">
        <w:rPr>
          <w:rFonts w:ascii="Comic Sans MS" w:eastAsiaTheme="minorHAnsi" w:hAnsi="Comic Sans MS" w:cs="Calibri"/>
          <w:sz w:val="24"/>
          <w:szCs w:val="24"/>
        </w:rPr>
        <w:t xml:space="preserve">l'importance </w:t>
      </w:r>
      <w:r w:rsidR="005D1F35">
        <w:rPr>
          <w:rFonts w:ascii="Comic Sans MS" w:eastAsiaTheme="minorHAnsi" w:hAnsi="Comic Sans MS" w:cs="Calibri"/>
          <w:sz w:val="24"/>
          <w:szCs w:val="24"/>
        </w:rPr>
        <w:t xml:space="preserve">de </w:t>
      </w:r>
      <w:r w:rsidR="00B02485" w:rsidRPr="009F25CF">
        <w:rPr>
          <w:rFonts w:ascii="Comic Sans MS" w:eastAsiaTheme="minorHAnsi" w:hAnsi="Comic Sans MS" w:cs="Calibri"/>
          <w:sz w:val="24"/>
          <w:szCs w:val="24"/>
        </w:rPr>
        <w:t>leur</w:t>
      </w:r>
      <w:r w:rsidR="00075BE0" w:rsidRPr="009F25CF">
        <w:rPr>
          <w:rFonts w:ascii="Comic Sans MS" w:eastAsiaTheme="minorHAnsi" w:hAnsi="Comic Sans MS" w:cs="Calibri"/>
          <w:sz w:val="24"/>
          <w:szCs w:val="24"/>
        </w:rPr>
        <w:t xml:space="preserve">s </w:t>
      </w:r>
      <w:r w:rsidR="005D1F35">
        <w:rPr>
          <w:rFonts w:ascii="Comic Sans MS" w:eastAsiaTheme="minorHAnsi" w:hAnsi="Comic Sans MS" w:cs="Calibri"/>
          <w:sz w:val="24"/>
          <w:szCs w:val="24"/>
        </w:rPr>
        <w:t>contribution à la</w:t>
      </w:r>
      <w:r w:rsidR="00B02485" w:rsidRPr="009F25CF">
        <w:rPr>
          <w:rFonts w:ascii="Comic Sans MS" w:eastAsiaTheme="minorHAnsi" w:hAnsi="Comic Sans MS" w:cs="Calibri"/>
          <w:sz w:val="24"/>
          <w:szCs w:val="24"/>
        </w:rPr>
        <w:t xml:space="preserve"> </w:t>
      </w:r>
      <w:r w:rsidR="00E72214" w:rsidRPr="009F25CF">
        <w:rPr>
          <w:rFonts w:ascii="Comic Sans MS" w:eastAsiaTheme="minorHAnsi" w:hAnsi="Comic Sans MS" w:cs="Calibri"/>
          <w:sz w:val="24"/>
          <w:szCs w:val="24"/>
        </w:rPr>
        <w:t xml:space="preserve">réduction des émissions des GES. </w:t>
      </w:r>
    </w:p>
    <w:p w14:paraId="0045278E" w14:textId="77777777" w:rsidR="00D02119" w:rsidRPr="009F25CF" w:rsidRDefault="00D02119" w:rsidP="00D02119">
      <w:pPr>
        <w:autoSpaceDE w:val="0"/>
        <w:autoSpaceDN w:val="0"/>
        <w:adjustRightInd w:val="0"/>
        <w:spacing w:before="0"/>
        <w:ind w:left="0" w:firstLine="0"/>
        <w:rPr>
          <w:rFonts w:ascii="Comic Sans MS" w:eastAsiaTheme="minorHAnsi" w:hAnsi="Comic Sans MS" w:cs="Calibri"/>
          <w:sz w:val="24"/>
          <w:szCs w:val="24"/>
        </w:rPr>
      </w:pPr>
    </w:p>
    <w:p w14:paraId="780B2BC1" w14:textId="68264176" w:rsidR="00D02119" w:rsidRPr="009F25CF" w:rsidRDefault="005D1F35" w:rsidP="00E72214">
      <w:pPr>
        <w:autoSpaceDE w:val="0"/>
        <w:autoSpaceDN w:val="0"/>
        <w:adjustRightInd w:val="0"/>
        <w:spacing w:before="0"/>
        <w:ind w:left="0" w:firstLine="0"/>
        <w:rPr>
          <w:rFonts w:ascii="Comic Sans MS" w:eastAsiaTheme="minorHAnsi" w:hAnsi="Comic Sans MS" w:cs="Calibri"/>
          <w:sz w:val="24"/>
          <w:szCs w:val="24"/>
        </w:rPr>
      </w:pPr>
      <w:r>
        <w:rPr>
          <w:rFonts w:ascii="Comic Sans MS" w:hAnsi="Comic Sans MS" w:cs="Calibri"/>
          <w:sz w:val="24"/>
          <w:szCs w:val="24"/>
        </w:rPr>
        <w:t xml:space="preserve">L’essentiel des mesures d’atténuation des GES du sous-secteur a été mise en place par l’Etat pour </w:t>
      </w:r>
      <w:r w:rsidR="00D02119" w:rsidRPr="009F25CF">
        <w:rPr>
          <w:rFonts w:ascii="Comic Sans MS" w:hAnsi="Comic Sans MS" w:cs="Calibri"/>
          <w:sz w:val="24"/>
          <w:szCs w:val="24"/>
        </w:rPr>
        <w:t>faire face à la problématique de la dégradation des ressources forestières</w:t>
      </w:r>
      <w:r w:rsidR="00601641">
        <w:rPr>
          <w:rFonts w:ascii="Comic Sans MS" w:hAnsi="Comic Sans MS" w:cs="Calibri"/>
          <w:sz w:val="24"/>
          <w:szCs w:val="24"/>
        </w:rPr>
        <w:t>. Il s’agit principalement des mesures</w:t>
      </w:r>
      <w:r w:rsidR="00D02119" w:rsidRPr="009F25CF">
        <w:rPr>
          <w:rFonts w:ascii="Comic Sans MS" w:eastAsiaTheme="minorHAnsi" w:hAnsi="Comic Sans MS" w:cs="Calibri"/>
          <w:sz w:val="24"/>
          <w:szCs w:val="24"/>
        </w:rPr>
        <w:t xml:space="preserve"> d’ordres politiques</w:t>
      </w:r>
      <w:r w:rsidR="00601641">
        <w:rPr>
          <w:rFonts w:ascii="Comic Sans MS" w:eastAsiaTheme="minorHAnsi" w:hAnsi="Comic Sans MS" w:cs="Calibri"/>
          <w:sz w:val="24"/>
          <w:szCs w:val="24"/>
        </w:rPr>
        <w:t>, réglementaires</w:t>
      </w:r>
      <w:r w:rsidR="00D7078A" w:rsidRPr="009F25CF">
        <w:rPr>
          <w:rFonts w:ascii="Comic Sans MS" w:eastAsiaTheme="minorHAnsi" w:hAnsi="Comic Sans MS" w:cs="Calibri"/>
          <w:sz w:val="24"/>
          <w:szCs w:val="24"/>
        </w:rPr>
        <w:t xml:space="preserve"> et </w:t>
      </w:r>
      <w:r w:rsidR="00D02119" w:rsidRPr="009F25CF">
        <w:rPr>
          <w:rFonts w:ascii="Comic Sans MS" w:eastAsiaTheme="minorHAnsi" w:hAnsi="Comic Sans MS" w:cs="Calibri"/>
          <w:sz w:val="24"/>
          <w:szCs w:val="24"/>
        </w:rPr>
        <w:t xml:space="preserve">institutionnelles. </w:t>
      </w:r>
    </w:p>
    <w:p w14:paraId="5F9A7BA8" w14:textId="77777777" w:rsidR="00D02119" w:rsidRPr="009F25CF" w:rsidRDefault="00D02119" w:rsidP="00D02119">
      <w:pPr>
        <w:autoSpaceDE w:val="0"/>
        <w:autoSpaceDN w:val="0"/>
        <w:adjustRightInd w:val="0"/>
        <w:spacing w:before="0"/>
        <w:ind w:left="0" w:firstLine="0"/>
        <w:rPr>
          <w:rFonts w:ascii="Comic Sans MS" w:hAnsi="Comic Sans MS" w:cs="Calibri"/>
          <w:sz w:val="24"/>
          <w:szCs w:val="24"/>
        </w:rPr>
      </w:pPr>
    </w:p>
    <w:p w14:paraId="4486BD83" w14:textId="54773B46" w:rsidR="00D02119" w:rsidRPr="009F25CF" w:rsidRDefault="003E712B">
      <w:pPr>
        <w:pStyle w:val="Paragraphedeliste"/>
        <w:numPr>
          <w:ilvl w:val="0"/>
          <w:numId w:val="7"/>
        </w:numPr>
        <w:spacing w:before="0"/>
        <w:ind w:left="426"/>
        <w:rPr>
          <w:rFonts w:ascii="Comic Sans MS" w:eastAsiaTheme="minorHAnsi" w:hAnsi="Comic Sans MS" w:cstheme="minorHAnsi"/>
          <w:b/>
          <w:bCs/>
        </w:rPr>
      </w:pPr>
      <w:r w:rsidRPr="009F25CF">
        <w:rPr>
          <w:rFonts w:ascii="Comic Sans MS" w:eastAsiaTheme="minorHAnsi" w:hAnsi="Comic Sans MS" w:cstheme="minorHAnsi"/>
          <w:b/>
          <w:bCs/>
        </w:rPr>
        <w:t xml:space="preserve">  </w:t>
      </w:r>
      <w:r w:rsidR="00E72214" w:rsidRPr="009F25CF">
        <w:rPr>
          <w:rFonts w:ascii="Comic Sans MS" w:eastAsiaTheme="minorHAnsi" w:hAnsi="Comic Sans MS" w:cstheme="minorHAnsi"/>
          <w:b/>
          <w:bCs/>
        </w:rPr>
        <w:t>Mesures</w:t>
      </w:r>
      <w:r w:rsidR="0011126E" w:rsidRPr="009F25CF">
        <w:rPr>
          <w:rFonts w:ascii="Comic Sans MS" w:eastAsiaTheme="minorHAnsi" w:hAnsi="Comic Sans MS" w:cstheme="minorHAnsi"/>
          <w:b/>
          <w:bCs/>
        </w:rPr>
        <w:t xml:space="preserve"> </w:t>
      </w:r>
      <w:r w:rsidR="00B02485" w:rsidRPr="009F25CF">
        <w:rPr>
          <w:rFonts w:ascii="Comic Sans MS" w:eastAsiaTheme="minorHAnsi" w:hAnsi="Comic Sans MS" w:cstheme="minorHAnsi"/>
          <w:b/>
          <w:bCs/>
        </w:rPr>
        <w:t>d’atténuation</w:t>
      </w:r>
      <w:r w:rsidR="00E72214" w:rsidRPr="009F25CF">
        <w:rPr>
          <w:rFonts w:ascii="Comic Sans MS" w:eastAsiaTheme="minorHAnsi" w:hAnsi="Comic Sans MS" w:cstheme="minorHAnsi"/>
          <w:b/>
          <w:bCs/>
        </w:rPr>
        <w:t xml:space="preserve"> </w:t>
      </w:r>
      <w:r w:rsidR="00664406" w:rsidRPr="009F25CF">
        <w:rPr>
          <w:rFonts w:ascii="Comic Sans MS" w:eastAsiaTheme="minorHAnsi" w:hAnsi="Comic Sans MS" w:cstheme="minorHAnsi"/>
          <w:b/>
          <w:bCs/>
        </w:rPr>
        <w:t>d’ordre politique</w:t>
      </w:r>
    </w:p>
    <w:p w14:paraId="54031CB8" w14:textId="77777777" w:rsidR="00392344" w:rsidRDefault="00B02485" w:rsidP="00840B82">
      <w:pPr>
        <w:tabs>
          <w:tab w:val="left" w:pos="3410"/>
        </w:tabs>
        <w:autoSpaceDE w:val="0"/>
        <w:autoSpaceDN w:val="0"/>
        <w:adjustRightInd w:val="0"/>
        <w:spacing w:before="0" w:after="120"/>
        <w:ind w:left="0" w:firstLine="0"/>
        <w:rPr>
          <w:rFonts w:ascii="Comic Sans MS" w:hAnsi="Comic Sans MS" w:cs="Calibri"/>
          <w:sz w:val="24"/>
          <w:szCs w:val="24"/>
        </w:rPr>
      </w:pPr>
      <w:r w:rsidRPr="009F25CF">
        <w:rPr>
          <w:rFonts w:ascii="Comic Sans MS" w:hAnsi="Comic Sans MS" w:cs="Calibri"/>
          <w:sz w:val="24"/>
          <w:szCs w:val="24"/>
        </w:rPr>
        <w:t>Elles sont</w:t>
      </w:r>
      <w:r w:rsidR="00786A53" w:rsidRPr="009F25CF">
        <w:rPr>
          <w:rFonts w:ascii="Comic Sans MS" w:hAnsi="Comic Sans MS" w:cs="Calibri"/>
          <w:sz w:val="24"/>
          <w:szCs w:val="24"/>
        </w:rPr>
        <w:t xml:space="preserve"> </w:t>
      </w:r>
      <w:r w:rsidR="008512B9">
        <w:rPr>
          <w:rFonts w:ascii="Comic Sans MS" w:hAnsi="Comic Sans MS" w:cs="Calibri"/>
          <w:sz w:val="24"/>
          <w:szCs w:val="24"/>
        </w:rPr>
        <w:t xml:space="preserve">mises en </w:t>
      </w:r>
      <w:r w:rsidR="0017647B">
        <w:rPr>
          <w:rFonts w:ascii="Comic Sans MS" w:hAnsi="Comic Sans MS" w:cs="Calibri"/>
          <w:sz w:val="24"/>
          <w:szCs w:val="24"/>
        </w:rPr>
        <w:t>place</w:t>
      </w:r>
      <w:r w:rsidR="008512B9">
        <w:rPr>
          <w:rFonts w:ascii="Comic Sans MS" w:hAnsi="Comic Sans MS" w:cs="Calibri"/>
          <w:sz w:val="24"/>
          <w:szCs w:val="24"/>
        </w:rPr>
        <w:t xml:space="preserve"> </w:t>
      </w:r>
      <w:r w:rsidR="003269AC" w:rsidRPr="009F25CF">
        <w:rPr>
          <w:rFonts w:ascii="Comic Sans MS" w:hAnsi="Comic Sans MS" w:cs="Calibri"/>
          <w:sz w:val="24"/>
          <w:szCs w:val="24"/>
        </w:rPr>
        <w:t xml:space="preserve">par l’Etat </w:t>
      </w:r>
      <w:r w:rsidRPr="009F25CF">
        <w:rPr>
          <w:rFonts w:ascii="Comic Sans MS" w:hAnsi="Comic Sans MS" w:cs="Calibri"/>
          <w:sz w:val="24"/>
          <w:szCs w:val="24"/>
        </w:rPr>
        <w:t>d</w:t>
      </w:r>
      <w:r w:rsidR="00D02119" w:rsidRPr="009F25CF">
        <w:rPr>
          <w:rFonts w:ascii="Comic Sans MS" w:hAnsi="Comic Sans MS" w:cs="Calibri"/>
          <w:sz w:val="24"/>
          <w:szCs w:val="24"/>
        </w:rPr>
        <w:t>ans le cadre de</w:t>
      </w:r>
      <w:r w:rsidRPr="009F25CF">
        <w:rPr>
          <w:rFonts w:ascii="Comic Sans MS" w:hAnsi="Comic Sans MS" w:cs="Calibri"/>
          <w:sz w:val="24"/>
          <w:szCs w:val="24"/>
        </w:rPr>
        <w:t xml:space="preserve"> la mise en œuvre </w:t>
      </w:r>
      <w:r w:rsidR="003269AC" w:rsidRPr="009F25CF">
        <w:rPr>
          <w:rFonts w:ascii="Comic Sans MS" w:hAnsi="Comic Sans MS" w:cs="Calibri"/>
          <w:sz w:val="24"/>
          <w:szCs w:val="24"/>
        </w:rPr>
        <w:t>de</w:t>
      </w:r>
      <w:r w:rsidR="00CC703C" w:rsidRPr="009F25CF">
        <w:rPr>
          <w:rFonts w:ascii="Comic Sans MS" w:hAnsi="Comic Sans MS" w:cs="Calibri"/>
          <w:sz w:val="24"/>
          <w:szCs w:val="24"/>
        </w:rPr>
        <w:t xml:space="preserve">s stratégies </w:t>
      </w:r>
      <w:r w:rsidR="008512B9">
        <w:rPr>
          <w:rFonts w:ascii="Comic Sans MS" w:hAnsi="Comic Sans MS" w:cs="Calibri"/>
          <w:sz w:val="24"/>
          <w:szCs w:val="24"/>
        </w:rPr>
        <w:t xml:space="preserve">nationale </w:t>
      </w:r>
      <w:r w:rsidR="00CC703C" w:rsidRPr="009F25CF">
        <w:rPr>
          <w:rFonts w:ascii="Comic Sans MS" w:hAnsi="Comic Sans MS" w:cs="Calibri"/>
          <w:sz w:val="24"/>
          <w:szCs w:val="24"/>
        </w:rPr>
        <w:t>de lutte contre la pauvreté (CSLP (2011-2015)</w:t>
      </w:r>
      <w:r w:rsidR="008512B9">
        <w:rPr>
          <w:rFonts w:ascii="Comic Sans MS" w:hAnsi="Comic Sans MS" w:cs="Calibri"/>
          <w:sz w:val="24"/>
          <w:szCs w:val="24"/>
        </w:rPr>
        <w:t>)</w:t>
      </w:r>
      <w:r w:rsidR="00CC703C" w:rsidRPr="009F25CF">
        <w:rPr>
          <w:rFonts w:ascii="Comic Sans MS" w:hAnsi="Comic Sans MS" w:cs="Calibri"/>
          <w:sz w:val="24"/>
          <w:szCs w:val="24"/>
        </w:rPr>
        <w:t xml:space="preserve"> et </w:t>
      </w:r>
      <w:r w:rsidR="00786A53" w:rsidRPr="009F25CF">
        <w:rPr>
          <w:rFonts w:ascii="Comic Sans MS" w:hAnsi="Comic Sans MS" w:cs="Calibri"/>
          <w:sz w:val="24"/>
          <w:szCs w:val="24"/>
        </w:rPr>
        <w:t>de</w:t>
      </w:r>
      <w:r w:rsidR="000553C3" w:rsidRPr="009F25CF">
        <w:rPr>
          <w:rFonts w:ascii="Comic Sans MS" w:hAnsi="Comic Sans MS" w:cs="Calibri"/>
          <w:sz w:val="24"/>
          <w:szCs w:val="24"/>
        </w:rPr>
        <w:t xml:space="preserve"> </w:t>
      </w:r>
      <w:r w:rsidR="00CC703C" w:rsidRPr="009F25CF">
        <w:rPr>
          <w:rFonts w:ascii="Comic Sans MS" w:hAnsi="Comic Sans MS" w:cs="Calibri"/>
          <w:sz w:val="24"/>
          <w:szCs w:val="24"/>
        </w:rPr>
        <w:t>la stratégie nationale de croissance accélérée et de prospérité partagée (SCAPP (2016-2030))</w:t>
      </w:r>
      <w:r w:rsidR="00786A53" w:rsidRPr="009F25CF">
        <w:rPr>
          <w:rFonts w:ascii="Comic Sans MS" w:hAnsi="Comic Sans MS" w:cs="Calibri"/>
          <w:sz w:val="24"/>
          <w:szCs w:val="24"/>
        </w:rPr>
        <w:t xml:space="preserve">. </w:t>
      </w:r>
    </w:p>
    <w:p w14:paraId="472CDBDD" w14:textId="539DC29A" w:rsidR="00830F89" w:rsidRPr="00392344" w:rsidRDefault="00392344">
      <w:pPr>
        <w:pStyle w:val="Paragraphedeliste"/>
        <w:numPr>
          <w:ilvl w:val="0"/>
          <w:numId w:val="20"/>
        </w:numPr>
        <w:tabs>
          <w:tab w:val="left" w:pos="3410"/>
        </w:tabs>
        <w:autoSpaceDE w:val="0"/>
        <w:autoSpaceDN w:val="0"/>
        <w:adjustRightInd w:val="0"/>
        <w:spacing w:before="0" w:after="120"/>
        <w:ind w:left="357" w:hanging="357"/>
        <w:contextualSpacing w:val="0"/>
        <w:rPr>
          <w:rFonts w:ascii="Comic Sans MS" w:hAnsi="Comic Sans MS" w:cs="Calibri"/>
        </w:rPr>
      </w:pPr>
      <w:r>
        <w:rPr>
          <w:rFonts w:ascii="Comic Sans MS" w:hAnsi="Comic Sans MS" w:cs="Calibri"/>
        </w:rPr>
        <w:t xml:space="preserve">Pour la </w:t>
      </w:r>
      <w:proofErr w:type="spellStart"/>
      <w:r>
        <w:rPr>
          <w:rFonts w:ascii="Comic Sans MS" w:hAnsi="Comic Sans MS" w:cs="Calibri"/>
        </w:rPr>
        <w:t>butanisation</w:t>
      </w:r>
      <w:proofErr w:type="spellEnd"/>
      <w:r>
        <w:rPr>
          <w:rFonts w:ascii="Comic Sans MS" w:hAnsi="Comic Sans MS" w:cs="Calibri"/>
        </w:rPr>
        <w:t xml:space="preserve"> : </w:t>
      </w:r>
      <w:r w:rsidR="00840B82" w:rsidRPr="00392344">
        <w:rPr>
          <w:rFonts w:ascii="Comic Sans MS" w:hAnsi="Comic Sans MS" w:cs="Calibri"/>
        </w:rPr>
        <w:t xml:space="preserve">Dans le cadre du </w:t>
      </w:r>
      <w:r w:rsidR="00CD359C" w:rsidRPr="00392344">
        <w:rPr>
          <w:rFonts w:ascii="Comic Sans MS" w:hAnsi="Comic Sans MS" w:cs="Calibri"/>
        </w:rPr>
        <w:t>renforcement de la fonction économique des infrastructures</w:t>
      </w:r>
      <w:r w:rsidR="00840B82" w:rsidRPr="00392344">
        <w:rPr>
          <w:rFonts w:ascii="Comic Sans MS" w:hAnsi="Comic Sans MS" w:cs="Calibri"/>
        </w:rPr>
        <w:t xml:space="preserve">, </w:t>
      </w:r>
      <w:r w:rsidR="00CD359C" w:rsidRPr="00392344">
        <w:rPr>
          <w:rFonts w:ascii="Comic Sans MS" w:hAnsi="Comic Sans MS" w:cs="Calibri"/>
        </w:rPr>
        <w:t xml:space="preserve">les pouvoirs publics </w:t>
      </w:r>
      <w:r w:rsidR="00F607FD">
        <w:rPr>
          <w:rFonts w:ascii="Comic Sans MS" w:hAnsi="Comic Sans MS" w:cs="Calibri"/>
        </w:rPr>
        <w:t>ont</w:t>
      </w:r>
      <w:r w:rsidR="00432CD0">
        <w:rPr>
          <w:rFonts w:ascii="Comic Sans MS" w:hAnsi="Comic Sans MS" w:cs="Calibri"/>
        </w:rPr>
        <w:t xml:space="preserve"> fixé </w:t>
      </w:r>
      <w:r w:rsidR="00840B82" w:rsidRPr="00392344">
        <w:rPr>
          <w:rFonts w:ascii="Comic Sans MS" w:hAnsi="Comic Sans MS" w:cs="Calibri"/>
        </w:rPr>
        <w:t xml:space="preserve">plusieurs </w:t>
      </w:r>
      <w:r w:rsidR="00CD359C" w:rsidRPr="00392344">
        <w:rPr>
          <w:rFonts w:ascii="Comic Sans MS" w:hAnsi="Comic Sans MS" w:cs="Calibri"/>
        </w:rPr>
        <w:t xml:space="preserve">objectifs </w:t>
      </w:r>
      <w:r w:rsidR="00432CD0">
        <w:rPr>
          <w:rFonts w:ascii="Comic Sans MS" w:hAnsi="Comic Sans MS" w:cs="Calibri"/>
        </w:rPr>
        <w:t>parmi lesquels celui d’</w:t>
      </w:r>
      <w:r w:rsidR="00CD359C" w:rsidRPr="00392344">
        <w:rPr>
          <w:rFonts w:ascii="Comic Sans MS" w:hAnsi="Comic Sans MS" w:cs="Calibri"/>
        </w:rPr>
        <w:t xml:space="preserve">accroître l’offre </w:t>
      </w:r>
      <w:r w:rsidR="00432CD0">
        <w:rPr>
          <w:rFonts w:ascii="Comic Sans MS" w:hAnsi="Comic Sans MS" w:cs="Calibri"/>
        </w:rPr>
        <w:t xml:space="preserve">national en </w:t>
      </w:r>
      <w:r w:rsidR="00CD359C" w:rsidRPr="00392344">
        <w:rPr>
          <w:rFonts w:ascii="Comic Sans MS" w:hAnsi="Comic Sans MS" w:cs="Calibri"/>
        </w:rPr>
        <w:t xml:space="preserve">gaz butane afin de réduire la </w:t>
      </w:r>
      <w:r w:rsidR="00432CD0">
        <w:rPr>
          <w:rFonts w:ascii="Comic Sans MS" w:hAnsi="Comic Sans MS" w:cs="Calibri"/>
        </w:rPr>
        <w:t>consommation des</w:t>
      </w:r>
      <w:r w:rsidR="00CD359C" w:rsidRPr="00392344">
        <w:rPr>
          <w:rFonts w:ascii="Comic Sans MS" w:hAnsi="Comic Sans MS" w:cs="Calibri"/>
        </w:rPr>
        <w:t xml:space="preserve"> combustibles </w:t>
      </w:r>
      <w:r w:rsidR="00432CD0">
        <w:rPr>
          <w:rFonts w:ascii="Comic Sans MS" w:hAnsi="Comic Sans MS" w:cs="Calibri"/>
        </w:rPr>
        <w:t>ligneux</w:t>
      </w:r>
      <w:r w:rsidR="00840B82" w:rsidRPr="00392344">
        <w:rPr>
          <w:rFonts w:ascii="Comic Sans MS" w:hAnsi="Comic Sans MS" w:cs="Calibri"/>
        </w:rPr>
        <w:t xml:space="preserve">. La </w:t>
      </w:r>
      <w:r w:rsidR="00321E36">
        <w:rPr>
          <w:rFonts w:ascii="Comic Sans MS" w:hAnsi="Comic Sans MS" w:cs="Calibri"/>
        </w:rPr>
        <w:t xml:space="preserve">libéralisation </w:t>
      </w:r>
      <w:r w:rsidR="00840B82" w:rsidRPr="00392344">
        <w:rPr>
          <w:rFonts w:ascii="Comic Sans MS" w:hAnsi="Comic Sans MS" w:cs="Calibri"/>
        </w:rPr>
        <w:t xml:space="preserve">de la filière </w:t>
      </w:r>
      <w:r w:rsidR="00CD359C" w:rsidRPr="00392344">
        <w:rPr>
          <w:rFonts w:ascii="Comic Sans MS" w:hAnsi="Comic Sans MS" w:cs="Calibri"/>
        </w:rPr>
        <w:t xml:space="preserve">du </w:t>
      </w:r>
      <w:r w:rsidR="00432CD0">
        <w:rPr>
          <w:rFonts w:ascii="Comic Sans MS" w:hAnsi="Comic Sans MS" w:cs="Calibri"/>
        </w:rPr>
        <w:t>g</w:t>
      </w:r>
      <w:r w:rsidR="00CD359C" w:rsidRPr="00392344">
        <w:rPr>
          <w:rFonts w:ascii="Comic Sans MS" w:hAnsi="Comic Sans MS" w:cs="Calibri"/>
        </w:rPr>
        <w:t xml:space="preserve">az butane a permis l’arrivée de nouveaux promoteurs privés disposant </w:t>
      </w:r>
      <w:r w:rsidR="00321E36">
        <w:rPr>
          <w:rFonts w:ascii="Comic Sans MS" w:hAnsi="Comic Sans MS" w:cs="Calibri"/>
        </w:rPr>
        <w:t xml:space="preserve">un </w:t>
      </w:r>
      <w:r w:rsidR="00CD359C" w:rsidRPr="00392344">
        <w:rPr>
          <w:rFonts w:ascii="Comic Sans MS" w:hAnsi="Comic Sans MS" w:cs="Calibri"/>
        </w:rPr>
        <w:t>important</w:t>
      </w:r>
      <w:r w:rsidR="00321E36">
        <w:rPr>
          <w:rFonts w:ascii="Comic Sans MS" w:hAnsi="Comic Sans MS" w:cs="Calibri"/>
        </w:rPr>
        <w:t xml:space="preserve"> parc </w:t>
      </w:r>
      <w:r w:rsidR="00840B82" w:rsidRPr="00392344">
        <w:rPr>
          <w:rFonts w:ascii="Comic Sans MS" w:hAnsi="Comic Sans MS" w:cs="Calibri"/>
        </w:rPr>
        <w:t xml:space="preserve">de stockage et </w:t>
      </w:r>
      <w:r w:rsidR="00CD359C" w:rsidRPr="00392344">
        <w:rPr>
          <w:rFonts w:ascii="Comic Sans MS" w:hAnsi="Comic Sans MS" w:cs="Calibri"/>
        </w:rPr>
        <w:t>d’e</w:t>
      </w:r>
      <w:r w:rsidR="00840B82" w:rsidRPr="00392344">
        <w:rPr>
          <w:rFonts w:ascii="Comic Sans MS" w:hAnsi="Comic Sans MS" w:cs="Calibri"/>
        </w:rPr>
        <w:t xml:space="preserve">nfutage des </w:t>
      </w:r>
      <w:proofErr w:type="spellStart"/>
      <w:r w:rsidR="000A342F">
        <w:rPr>
          <w:rFonts w:ascii="Comic Sans MS" w:hAnsi="Comic Sans MS" w:cs="Calibri"/>
        </w:rPr>
        <w:t>bonbonnes</w:t>
      </w:r>
      <w:r w:rsidR="00840B82" w:rsidRPr="00392344">
        <w:rPr>
          <w:rFonts w:ascii="Comic Sans MS" w:hAnsi="Comic Sans MS" w:cs="Calibri"/>
        </w:rPr>
        <w:t>s</w:t>
      </w:r>
      <w:proofErr w:type="spellEnd"/>
      <w:r w:rsidR="00840B82" w:rsidRPr="00392344">
        <w:rPr>
          <w:rFonts w:ascii="Comic Sans MS" w:hAnsi="Comic Sans MS" w:cs="Calibri"/>
        </w:rPr>
        <w:t xml:space="preserve"> de gaz butane. Le bon fonction de </w:t>
      </w:r>
      <w:r w:rsidR="00830F89" w:rsidRPr="00392344">
        <w:rPr>
          <w:rFonts w:ascii="Comic Sans MS" w:hAnsi="Comic Sans MS" w:cs="Calibri"/>
        </w:rPr>
        <w:t xml:space="preserve">la filière gaz butane </w:t>
      </w:r>
      <w:r w:rsidR="00840B82" w:rsidRPr="00392344">
        <w:rPr>
          <w:rFonts w:ascii="Comic Sans MS" w:hAnsi="Comic Sans MS" w:cs="Calibri"/>
        </w:rPr>
        <w:t>a été accompagné par</w:t>
      </w:r>
      <w:r w:rsidR="00830F89" w:rsidRPr="00392344">
        <w:rPr>
          <w:rFonts w:ascii="Comic Sans MS" w:hAnsi="Comic Sans MS" w:cs="Calibri"/>
        </w:rPr>
        <w:t xml:space="preserve"> : </w:t>
      </w:r>
    </w:p>
    <w:p w14:paraId="069FA2DF" w14:textId="72A3A0E5" w:rsidR="00CD359C" w:rsidRDefault="008666EE">
      <w:pPr>
        <w:pStyle w:val="Paragraphedeliste"/>
        <w:numPr>
          <w:ilvl w:val="0"/>
          <w:numId w:val="19"/>
        </w:numPr>
        <w:tabs>
          <w:tab w:val="left" w:pos="3410"/>
        </w:tabs>
        <w:autoSpaceDE w:val="0"/>
        <w:autoSpaceDN w:val="0"/>
        <w:adjustRightInd w:val="0"/>
        <w:spacing w:before="0" w:after="120"/>
        <w:rPr>
          <w:rFonts w:ascii="Comic Sans MS" w:hAnsi="Comic Sans MS" w:cs="Calibri"/>
        </w:rPr>
      </w:pPr>
      <w:r>
        <w:rPr>
          <w:rFonts w:ascii="Comic Sans MS" w:hAnsi="Comic Sans MS" w:cs="Calibri"/>
        </w:rPr>
        <w:t>L’adoption d’</w:t>
      </w:r>
      <w:r w:rsidR="00840B82" w:rsidRPr="00830F89">
        <w:rPr>
          <w:rFonts w:ascii="Comic Sans MS" w:hAnsi="Comic Sans MS" w:cs="Calibri"/>
        </w:rPr>
        <w:t xml:space="preserve">un arsenal juridique </w:t>
      </w:r>
      <w:r w:rsidR="00CD359C" w:rsidRPr="00830F89">
        <w:rPr>
          <w:rFonts w:ascii="Comic Sans MS" w:hAnsi="Comic Sans MS" w:cs="Calibri"/>
        </w:rPr>
        <w:t>notamment les décrets fixant les éléments constitutifs des prix d</w:t>
      </w:r>
      <w:r w:rsidR="00840B82" w:rsidRPr="00830F89">
        <w:rPr>
          <w:rFonts w:ascii="Comic Sans MS" w:hAnsi="Comic Sans MS" w:cs="Calibri"/>
        </w:rPr>
        <w:t>u</w:t>
      </w:r>
      <w:r w:rsidR="00CD359C" w:rsidRPr="00830F89">
        <w:rPr>
          <w:rFonts w:ascii="Comic Sans MS" w:hAnsi="Comic Sans MS" w:cs="Calibri"/>
        </w:rPr>
        <w:t xml:space="preserve"> gaz butane</w:t>
      </w:r>
      <w:r>
        <w:rPr>
          <w:rFonts w:ascii="Comic Sans MS" w:hAnsi="Comic Sans MS" w:cs="Calibri"/>
        </w:rPr>
        <w:t xml:space="preserve"> et sur l’organisation de la filière gaz butane</w:t>
      </w:r>
      <w:r w:rsidR="00840B82" w:rsidRPr="00830F89">
        <w:rPr>
          <w:rFonts w:ascii="Comic Sans MS" w:hAnsi="Comic Sans MS" w:cs="Calibri"/>
        </w:rPr>
        <w:t xml:space="preserve">. </w:t>
      </w:r>
    </w:p>
    <w:p w14:paraId="66C7E10A" w14:textId="214DA769" w:rsidR="00830F89" w:rsidRPr="00830F89" w:rsidRDefault="00830F89">
      <w:pPr>
        <w:pStyle w:val="Paragraphedeliste"/>
        <w:numPr>
          <w:ilvl w:val="0"/>
          <w:numId w:val="19"/>
        </w:numPr>
        <w:tabs>
          <w:tab w:val="left" w:pos="3410"/>
        </w:tabs>
        <w:autoSpaceDE w:val="0"/>
        <w:autoSpaceDN w:val="0"/>
        <w:adjustRightInd w:val="0"/>
        <w:spacing w:before="0" w:after="120"/>
        <w:rPr>
          <w:rFonts w:ascii="Comic Sans MS" w:hAnsi="Comic Sans MS" w:cs="Calibri"/>
        </w:rPr>
      </w:pPr>
      <w:r w:rsidRPr="00830F89">
        <w:rPr>
          <w:rFonts w:ascii="Comic Sans MS" w:hAnsi="Comic Sans MS" w:cs="Calibri"/>
        </w:rPr>
        <w:t xml:space="preserve">une nouvelle stratégie sur la transition énergétique en Mauritanie, adopté en 2020, qui considère </w:t>
      </w:r>
      <w:r>
        <w:rPr>
          <w:rFonts w:ascii="Comic Sans MS" w:hAnsi="Comic Sans MS" w:cs="Calibri"/>
        </w:rPr>
        <w:t>l</w:t>
      </w:r>
      <w:r w:rsidRPr="00830F89">
        <w:rPr>
          <w:rFonts w:ascii="Comic Sans MS" w:hAnsi="Comic Sans MS" w:cs="Calibri"/>
        </w:rPr>
        <w:t xml:space="preserve">e gaz naturel parmi </w:t>
      </w:r>
      <w:r>
        <w:rPr>
          <w:rFonts w:ascii="Comic Sans MS" w:hAnsi="Comic Sans MS" w:cs="Calibri"/>
        </w:rPr>
        <w:t>l</w:t>
      </w:r>
      <w:r w:rsidRPr="00830F89">
        <w:rPr>
          <w:rFonts w:ascii="Comic Sans MS" w:hAnsi="Comic Sans MS" w:cs="Calibri"/>
        </w:rPr>
        <w:t>es sources à impact limité sur l’environnement, en raison de son impact limité sur la production de dioxyde de carbone, ce qui en fait</w:t>
      </w:r>
      <w:r w:rsidR="008666EE">
        <w:rPr>
          <w:rFonts w:ascii="Comic Sans MS" w:hAnsi="Comic Sans MS" w:cs="Calibri"/>
        </w:rPr>
        <w:t xml:space="preserve"> d’elle </w:t>
      </w:r>
      <w:r w:rsidRPr="00830F89">
        <w:rPr>
          <w:rFonts w:ascii="Comic Sans MS" w:hAnsi="Comic Sans MS" w:cs="Calibri"/>
        </w:rPr>
        <w:t>un</w:t>
      </w:r>
      <w:r>
        <w:rPr>
          <w:rFonts w:ascii="Comic Sans MS" w:hAnsi="Comic Sans MS" w:cs="Calibri"/>
        </w:rPr>
        <w:t xml:space="preserve">e énergie peu </w:t>
      </w:r>
      <w:r w:rsidRPr="00830F89">
        <w:rPr>
          <w:rFonts w:ascii="Comic Sans MS" w:hAnsi="Comic Sans MS" w:cs="Calibri"/>
        </w:rPr>
        <w:t>nocive pour l’environnement</w:t>
      </w:r>
      <w:r>
        <w:rPr>
          <w:rFonts w:ascii="Comic Sans MS" w:hAnsi="Comic Sans MS" w:cs="Calibri"/>
        </w:rPr>
        <w:t>.</w:t>
      </w:r>
    </w:p>
    <w:p w14:paraId="4CE6894D" w14:textId="77777777" w:rsidR="00392344" w:rsidRDefault="00392344" w:rsidP="00392344">
      <w:pPr>
        <w:pStyle w:val="Paragraphedeliste"/>
        <w:spacing w:after="120"/>
        <w:ind w:left="0"/>
        <w:contextualSpacing w:val="0"/>
        <w:rPr>
          <w:rFonts w:ascii="Comic Sans MS" w:hAnsi="Comic Sans MS" w:cs="Calibri"/>
        </w:rPr>
      </w:pPr>
    </w:p>
    <w:p w14:paraId="40E9FFF4" w14:textId="51E42962" w:rsidR="00392344" w:rsidRDefault="00392344">
      <w:pPr>
        <w:pStyle w:val="Paragraphedeliste"/>
        <w:numPr>
          <w:ilvl w:val="0"/>
          <w:numId w:val="20"/>
        </w:numPr>
        <w:tabs>
          <w:tab w:val="left" w:pos="3410"/>
        </w:tabs>
        <w:autoSpaceDE w:val="0"/>
        <w:autoSpaceDN w:val="0"/>
        <w:adjustRightInd w:val="0"/>
        <w:spacing w:before="0" w:after="120"/>
        <w:rPr>
          <w:rFonts w:ascii="Comic Sans MS" w:hAnsi="Comic Sans MS" w:cs="Calibri"/>
        </w:rPr>
      </w:pPr>
      <w:r w:rsidRPr="00392344">
        <w:rPr>
          <w:rFonts w:ascii="Comic Sans MS" w:hAnsi="Comic Sans MS" w:cs="Calibri"/>
        </w:rPr>
        <w:t>Pour les foyers améliorés : Cette technique de rationalisation de la consommation du charbon de bois et d</w:t>
      </w:r>
      <w:r w:rsidR="008666EE">
        <w:rPr>
          <w:rFonts w:ascii="Comic Sans MS" w:hAnsi="Comic Sans MS" w:cs="Calibri"/>
        </w:rPr>
        <w:t>u</w:t>
      </w:r>
      <w:r w:rsidRPr="00392344">
        <w:rPr>
          <w:rFonts w:ascii="Comic Sans MS" w:hAnsi="Comic Sans MS" w:cs="Calibri"/>
        </w:rPr>
        <w:t xml:space="preserve"> bois de chauffe via des foyers améliorés, ont été expérimentées et mises en œuvre en Mauritanie depuis des décennies. </w:t>
      </w:r>
      <w:r>
        <w:rPr>
          <w:rFonts w:ascii="Comic Sans MS" w:hAnsi="Comic Sans MS" w:cs="Calibri"/>
        </w:rPr>
        <w:t xml:space="preserve">La première génération des foyers améliorés </w:t>
      </w:r>
      <w:r w:rsidRPr="00392344">
        <w:rPr>
          <w:rFonts w:ascii="Comic Sans MS" w:hAnsi="Comic Sans MS" w:cs="Calibri"/>
        </w:rPr>
        <w:t xml:space="preserve">a </w:t>
      </w:r>
      <w:r>
        <w:rPr>
          <w:rFonts w:ascii="Comic Sans MS" w:hAnsi="Comic Sans MS" w:cs="Calibri"/>
        </w:rPr>
        <w:t xml:space="preserve">été </w:t>
      </w:r>
      <w:r w:rsidRPr="00392344">
        <w:rPr>
          <w:rFonts w:ascii="Comic Sans MS" w:hAnsi="Comic Sans MS" w:cs="Calibri"/>
        </w:rPr>
        <w:t>introduit</w:t>
      </w:r>
      <w:r>
        <w:rPr>
          <w:rFonts w:ascii="Comic Sans MS" w:hAnsi="Comic Sans MS" w:cs="Calibri"/>
        </w:rPr>
        <w:t xml:space="preserve">, </w:t>
      </w:r>
      <w:r w:rsidRPr="00392344">
        <w:rPr>
          <w:rFonts w:ascii="Comic Sans MS" w:hAnsi="Comic Sans MS" w:cs="Calibri"/>
        </w:rPr>
        <w:t>durant les années 80</w:t>
      </w:r>
      <w:r>
        <w:rPr>
          <w:rFonts w:ascii="Comic Sans MS" w:hAnsi="Comic Sans MS" w:cs="Calibri"/>
        </w:rPr>
        <w:t xml:space="preserve">, avec les modèles </w:t>
      </w:r>
      <w:r w:rsidRPr="00392344">
        <w:rPr>
          <w:rFonts w:ascii="Comic Sans MS" w:hAnsi="Comic Sans MS" w:cs="Calibri"/>
        </w:rPr>
        <w:t xml:space="preserve">foyers améliorés </w:t>
      </w:r>
      <w:r w:rsidR="008666EE">
        <w:rPr>
          <w:rFonts w:ascii="Comic Sans MS" w:hAnsi="Comic Sans MS" w:cs="Calibri"/>
        </w:rPr>
        <w:t xml:space="preserve">de type </w:t>
      </w:r>
      <w:r w:rsidR="005E5152">
        <w:rPr>
          <w:rFonts w:ascii="Comic Sans MS" w:hAnsi="Comic Sans MS" w:cs="Calibri"/>
        </w:rPr>
        <w:t>M</w:t>
      </w:r>
      <w:r w:rsidRPr="00392344">
        <w:rPr>
          <w:rFonts w:ascii="Comic Sans MS" w:hAnsi="Comic Sans MS" w:cs="Calibri"/>
        </w:rPr>
        <w:t xml:space="preserve">algaches et </w:t>
      </w:r>
      <w:proofErr w:type="spellStart"/>
      <w:r w:rsidR="005E5152">
        <w:rPr>
          <w:rFonts w:ascii="Comic Sans MS" w:hAnsi="Comic Sans MS" w:cs="Calibri"/>
        </w:rPr>
        <w:t>M</w:t>
      </w:r>
      <w:r w:rsidRPr="00392344">
        <w:rPr>
          <w:rFonts w:ascii="Comic Sans MS" w:hAnsi="Comic Sans MS" w:cs="Calibri"/>
        </w:rPr>
        <w:t>aslaha</w:t>
      </w:r>
      <w:proofErr w:type="spellEnd"/>
      <w:r w:rsidRPr="00392344">
        <w:rPr>
          <w:rFonts w:ascii="Comic Sans MS" w:hAnsi="Comic Sans MS" w:cs="Calibri"/>
        </w:rPr>
        <w:t xml:space="preserve">. Ces modèles sont encore utilisés par de nombreux ménages quoique la fabrication de ce type de foyer ne respecte </w:t>
      </w:r>
      <w:r>
        <w:rPr>
          <w:rFonts w:ascii="Comic Sans MS" w:hAnsi="Comic Sans MS" w:cs="Calibri"/>
        </w:rPr>
        <w:t xml:space="preserve">actuellement </w:t>
      </w:r>
      <w:r w:rsidRPr="00392344">
        <w:rPr>
          <w:rFonts w:ascii="Comic Sans MS" w:hAnsi="Comic Sans MS" w:cs="Calibri"/>
        </w:rPr>
        <w:t xml:space="preserve">aucune norme technique. </w:t>
      </w:r>
    </w:p>
    <w:p w14:paraId="4AF8D23E" w14:textId="2796E642" w:rsidR="00392344" w:rsidRPr="008666EE" w:rsidRDefault="00392344" w:rsidP="00392344">
      <w:pPr>
        <w:spacing w:before="0"/>
        <w:ind w:left="284" w:firstLine="0"/>
        <w:rPr>
          <w:rFonts w:ascii="Comic Sans MS" w:hAnsi="Comic Sans MS" w:cs="Calibri"/>
          <w:sz w:val="24"/>
          <w:szCs w:val="24"/>
        </w:rPr>
      </w:pPr>
      <w:r w:rsidRPr="008666EE">
        <w:rPr>
          <w:rFonts w:ascii="Comic Sans MS" w:hAnsi="Comic Sans MS" w:cs="Calibri"/>
          <w:sz w:val="24"/>
          <w:szCs w:val="24"/>
        </w:rPr>
        <w:t xml:space="preserve">Depuis 2010, le pays a vu l’apparition des nouveaux modèles de foyers améliorés fabriqués dans le cadre des projets de partenariat avec la coopération technique Allemande et Française. Il s’agit en particulier </w:t>
      </w:r>
      <w:r w:rsidR="00363713" w:rsidRPr="008666EE">
        <w:rPr>
          <w:rFonts w:ascii="Comic Sans MS" w:hAnsi="Comic Sans MS" w:cs="Calibri"/>
          <w:sz w:val="24"/>
          <w:szCs w:val="24"/>
        </w:rPr>
        <w:t>d</w:t>
      </w:r>
      <w:r w:rsidRPr="008666EE">
        <w:rPr>
          <w:rFonts w:ascii="Comic Sans MS" w:hAnsi="Comic Sans MS" w:cs="Calibri"/>
          <w:sz w:val="24"/>
          <w:szCs w:val="24"/>
        </w:rPr>
        <w:t xml:space="preserve">es modèles de foyers améliorés </w:t>
      </w:r>
      <w:r w:rsidR="00363713" w:rsidRPr="008666EE">
        <w:rPr>
          <w:rFonts w:ascii="Comic Sans MS" w:hAnsi="Comic Sans MS" w:cs="Calibri"/>
          <w:sz w:val="24"/>
          <w:szCs w:val="24"/>
        </w:rPr>
        <w:t xml:space="preserve">de types </w:t>
      </w:r>
      <w:r w:rsidRPr="008666EE">
        <w:rPr>
          <w:rFonts w:ascii="Comic Sans MS" w:hAnsi="Comic Sans MS" w:cs="Calibri"/>
          <w:sz w:val="24"/>
          <w:szCs w:val="24"/>
        </w:rPr>
        <w:t xml:space="preserve">Vita </w:t>
      </w:r>
      <w:r w:rsidR="00363713" w:rsidRPr="008666EE">
        <w:rPr>
          <w:rFonts w:ascii="Comic Sans MS" w:hAnsi="Comic Sans MS" w:cs="Calibri"/>
          <w:sz w:val="24"/>
          <w:szCs w:val="24"/>
        </w:rPr>
        <w:t>(Projet de la</w:t>
      </w:r>
      <w:r w:rsidRPr="008666EE">
        <w:rPr>
          <w:rFonts w:ascii="Comic Sans MS" w:hAnsi="Comic Sans MS" w:cs="Calibri"/>
          <w:sz w:val="24"/>
          <w:szCs w:val="24"/>
        </w:rPr>
        <w:t xml:space="preserve"> GTZ</w:t>
      </w:r>
      <w:r w:rsidR="00363713" w:rsidRPr="008666EE">
        <w:rPr>
          <w:rFonts w:ascii="Comic Sans MS" w:hAnsi="Comic Sans MS" w:cs="Calibri"/>
          <w:sz w:val="24"/>
          <w:szCs w:val="24"/>
        </w:rPr>
        <w:t xml:space="preserve"> (</w:t>
      </w:r>
      <w:r w:rsidRPr="008666EE">
        <w:rPr>
          <w:rFonts w:ascii="Comic Sans MS" w:hAnsi="Comic Sans MS" w:cs="Calibri"/>
          <w:sz w:val="24"/>
          <w:szCs w:val="24"/>
        </w:rPr>
        <w:t>en 2012</w:t>
      </w:r>
      <w:r w:rsidR="00363713" w:rsidRPr="008666EE">
        <w:rPr>
          <w:rFonts w:ascii="Comic Sans MS" w:hAnsi="Comic Sans MS" w:cs="Calibri"/>
          <w:sz w:val="24"/>
          <w:szCs w:val="24"/>
        </w:rPr>
        <w:t>))</w:t>
      </w:r>
      <w:r w:rsidRPr="008666EE">
        <w:rPr>
          <w:rFonts w:ascii="Comic Sans MS" w:hAnsi="Comic Sans MS" w:cs="Calibri"/>
          <w:sz w:val="24"/>
          <w:szCs w:val="24"/>
        </w:rPr>
        <w:t xml:space="preserve"> et </w:t>
      </w:r>
      <w:r w:rsidR="00363713" w:rsidRPr="008666EE">
        <w:rPr>
          <w:rFonts w:ascii="Comic Sans MS" w:hAnsi="Comic Sans MS" w:cs="Calibri"/>
          <w:sz w:val="24"/>
          <w:szCs w:val="24"/>
        </w:rPr>
        <w:t xml:space="preserve">de type </w:t>
      </w:r>
      <w:proofErr w:type="spellStart"/>
      <w:r w:rsidR="00363713" w:rsidRPr="008666EE">
        <w:rPr>
          <w:rFonts w:ascii="Comic Sans MS" w:hAnsi="Comic Sans MS" w:cs="Calibri"/>
          <w:sz w:val="24"/>
          <w:szCs w:val="24"/>
        </w:rPr>
        <w:t>Fayda</w:t>
      </w:r>
      <w:proofErr w:type="spellEnd"/>
      <w:r w:rsidR="00363713" w:rsidRPr="008666EE">
        <w:rPr>
          <w:rFonts w:ascii="Comic Sans MS" w:hAnsi="Comic Sans MS" w:cs="Calibri"/>
          <w:sz w:val="24"/>
          <w:szCs w:val="24"/>
        </w:rPr>
        <w:t xml:space="preserve"> et FARIM à travers des projets de GRDR respectivement introduit en 2015 et 2017</w:t>
      </w:r>
      <w:r w:rsidR="00111866">
        <w:rPr>
          <w:rFonts w:ascii="Comic Sans MS" w:hAnsi="Comic Sans MS" w:cs="Calibri"/>
          <w:sz w:val="24"/>
          <w:szCs w:val="24"/>
        </w:rPr>
        <w:t xml:space="preserve"> </w:t>
      </w:r>
      <w:r w:rsidR="00363713" w:rsidRPr="008666EE">
        <w:rPr>
          <w:rFonts w:ascii="Comic Sans MS" w:hAnsi="Comic Sans MS" w:cs="Calibri"/>
          <w:sz w:val="24"/>
          <w:szCs w:val="24"/>
        </w:rPr>
        <w:t xml:space="preserve">sur le marché local.  Les trois derniers </w:t>
      </w:r>
      <w:r w:rsidRPr="008666EE">
        <w:rPr>
          <w:rFonts w:ascii="Comic Sans MS" w:hAnsi="Comic Sans MS" w:cs="Calibri"/>
          <w:sz w:val="24"/>
          <w:szCs w:val="24"/>
        </w:rPr>
        <w:t xml:space="preserve">modèles </w:t>
      </w:r>
      <w:r w:rsidR="002D4625" w:rsidRPr="008666EE">
        <w:rPr>
          <w:rFonts w:ascii="Comic Sans MS" w:hAnsi="Comic Sans MS" w:cs="Calibri"/>
          <w:sz w:val="24"/>
          <w:szCs w:val="24"/>
        </w:rPr>
        <w:t>sont d</w:t>
      </w:r>
      <w:r w:rsidRPr="008666EE">
        <w:rPr>
          <w:rFonts w:ascii="Comic Sans MS" w:hAnsi="Comic Sans MS" w:cs="Calibri"/>
          <w:sz w:val="24"/>
          <w:szCs w:val="24"/>
        </w:rPr>
        <w:t>es foyers mixtes</w:t>
      </w:r>
      <w:r w:rsidR="002D4625" w:rsidRPr="008666EE">
        <w:rPr>
          <w:rFonts w:ascii="Comic Sans MS" w:hAnsi="Comic Sans MS" w:cs="Calibri"/>
          <w:sz w:val="24"/>
          <w:szCs w:val="24"/>
        </w:rPr>
        <w:t xml:space="preserve"> qui </w:t>
      </w:r>
      <w:r w:rsidRPr="008666EE">
        <w:rPr>
          <w:rFonts w:ascii="Comic Sans MS" w:hAnsi="Comic Sans MS" w:cs="Calibri"/>
          <w:sz w:val="24"/>
          <w:szCs w:val="24"/>
        </w:rPr>
        <w:t>utilis</w:t>
      </w:r>
      <w:r w:rsidR="002D4625" w:rsidRPr="008666EE">
        <w:rPr>
          <w:rFonts w:ascii="Comic Sans MS" w:hAnsi="Comic Sans MS" w:cs="Calibri"/>
          <w:sz w:val="24"/>
          <w:szCs w:val="24"/>
        </w:rPr>
        <w:t>ent</w:t>
      </w:r>
      <w:r w:rsidRPr="008666EE">
        <w:rPr>
          <w:rFonts w:ascii="Comic Sans MS" w:hAnsi="Comic Sans MS" w:cs="Calibri"/>
          <w:sz w:val="24"/>
          <w:szCs w:val="24"/>
        </w:rPr>
        <w:t xml:space="preserve">, à la fois </w:t>
      </w:r>
      <w:r w:rsidR="002D4625" w:rsidRPr="008666EE">
        <w:rPr>
          <w:rFonts w:ascii="Comic Sans MS" w:hAnsi="Comic Sans MS" w:cs="Calibri"/>
          <w:sz w:val="24"/>
          <w:szCs w:val="24"/>
        </w:rPr>
        <w:t>le</w:t>
      </w:r>
      <w:r w:rsidRPr="008666EE">
        <w:rPr>
          <w:rFonts w:ascii="Comic Sans MS" w:hAnsi="Comic Sans MS" w:cs="Calibri"/>
          <w:sz w:val="24"/>
          <w:szCs w:val="24"/>
        </w:rPr>
        <w:t xml:space="preserve"> bois de chauffe et le charbon de bois</w:t>
      </w:r>
      <w:r w:rsidR="002D4625" w:rsidRPr="008666EE">
        <w:rPr>
          <w:rFonts w:ascii="Comic Sans MS" w:hAnsi="Comic Sans MS" w:cs="Calibri"/>
          <w:sz w:val="24"/>
          <w:szCs w:val="24"/>
        </w:rPr>
        <w:t xml:space="preserve">. Ils ont </w:t>
      </w:r>
      <w:r w:rsidRPr="008666EE">
        <w:rPr>
          <w:rFonts w:ascii="Comic Sans MS" w:hAnsi="Comic Sans MS" w:cs="Calibri"/>
          <w:sz w:val="24"/>
          <w:szCs w:val="24"/>
        </w:rPr>
        <w:t xml:space="preserve">une durée de vie de plus </w:t>
      </w:r>
      <w:r w:rsidR="002D4625" w:rsidRPr="008666EE">
        <w:rPr>
          <w:rFonts w:ascii="Comic Sans MS" w:hAnsi="Comic Sans MS" w:cs="Calibri"/>
          <w:sz w:val="24"/>
          <w:szCs w:val="24"/>
        </w:rPr>
        <w:t>longue (+</w:t>
      </w:r>
      <w:r w:rsidRPr="008666EE">
        <w:rPr>
          <w:rFonts w:ascii="Comic Sans MS" w:hAnsi="Comic Sans MS" w:cs="Calibri"/>
          <w:sz w:val="24"/>
          <w:szCs w:val="24"/>
        </w:rPr>
        <w:t>de 2 ans</w:t>
      </w:r>
      <w:r w:rsidR="002D4625" w:rsidRPr="008666EE">
        <w:rPr>
          <w:rFonts w:ascii="Comic Sans MS" w:hAnsi="Comic Sans MS" w:cs="Calibri"/>
          <w:sz w:val="24"/>
          <w:szCs w:val="24"/>
        </w:rPr>
        <w:t>)</w:t>
      </w:r>
      <w:r w:rsidRPr="008666EE">
        <w:rPr>
          <w:rFonts w:ascii="Comic Sans MS" w:hAnsi="Comic Sans MS" w:cs="Calibri"/>
          <w:sz w:val="24"/>
          <w:szCs w:val="24"/>
        </w:rPr>
        <w:t xml:space="preserve"> et une capacité de réduction de la consommation comprise entre 25 à 40% de charbon économisé/jour par rapport à un fourneau classique. Le plus grand problème </w:t>
      </w:r>
      <w:r w:rsidR="002D4625" w:rsidRPr="008666EE">
        <w:rPr>
          <w:rFonts w:ascii="Comic Sans MS" w:hAnsi="Comic Sans MS" w:cs="Calibri"/>
          <w:sz w:val="24"/>
          <w:szCs w:val="24"/>
        </w:rPr>
        <w:t xml:space="preserve">limitant diffusion </w:t>
      </w:r>
      <w:r w:rsidRPr="008666EE">
        <w:rPr>
          <w:rFonts w:ascii="Comic Sans MS" w:hAnsi="Comic Sans MS" w:cs="Calibri"/>
          <w:sz w:val="24"/>
          <w:szCs w:val="24"/>
        </w:rPr>
        <w:t xml:space="preserve">de ces modèles de foyers améliorés </w:t>
      </w:r>
      <w:r w:rsidR="002D4625" w:rsidRPr="008666EE">
        <w:rPr>
          <w:rFonts w:ascii="Comic Sans MS" w:hAnsi="Comic Sans MS" w:cs="Calibri"/>
          <w:sz w:val="24"/>
          <w:szCs w:val="24"/>
        </w:rPr>
        <w:t xml:space="preserve">reste </w:t>
      </w:r>
      <w:r w:rsidRPr="008666EE">
        <w:rPr>
          <w:rFonts w:ascii="Comic Sans MS" w:hAnsi="Comic Sans MS" w:cs="Calibri"/>
          <w:sz w:val="24"/>
          <w:szCs w:val="24"/>
        </w:rPr>
        <w:t xml:space="preserve">leurs prix aussi élevés pour les ménages pauvres (Prix environ 700 MRU). </w:t>
      </w:r>
    </w:p>
    <w:p w14:paraId="3A11766C" w14:textId="77777777" w:rsidR="00392344" w:rsidRPr="002D4625" w:rsidRDefault="00392344" w:rsidP="002D4625">
      <w:pPr>
        <w:tabs>
          <w:tab w:val="left" w:pos="3410"/>
        </w:tabs>
        <w:autoSpaceDE w:val="0"/>
        <w:autoSpaceDN w:val="0"/>
        <w:adjustRightInd w:val="0"/>
        <w:spacing w:before="0" w:after="120"/>
        <w:rPr>
          <w:rFonts w:ascii="Comic Sans MS" w:hAnsi="Comic Sans MS" w:cs="Calibri"/>
        </w:rPr>
      </w:pPr>
    </w:p>
    <w:p w14:paraId="5BA80990" w14:textId="77777777" w:rsidR="00392344" w:rsidRDefault="00392344" w:rsidP="0011126E">
      <w:pPr>
        <w:tabs>
          <w:tab w:val="left" w:pos="3410"/>
        </w:tabs>
        <w:autoSpaceDE w:val="0"/>
        <w:autoSpaceDN w:val="0"/>
        <w:adjustRightInd w:val="0"/>
        <w:spacing w:before="0" w:after="120"/>
        <w:ind w:left="0" w:firstLine="0"/>
        <w:rPr>
          <w:rFonts w:ascii="Comic Sans MS" w:hAnsi="Comic Sans MS" w:cs="Calibri"/>
          <w:sz w:val="24"/>
          <w:szCs w:val="24"/>
        </w:rPr>
      </w:pPr>
    </w:p>
    <w:p w14:paraId="5E7C0C39" w14:textId="344B23A0" w:rsidR="00674CBC" w:rsidRPr="009F25CF" w:rsidRDefault="00674CBC">
      <w:pPr>
        <w:pStyle w:val="Paragraphedeliste"/>
        <w:numPr>
          <w:ilvl w:val="0"/>
          <w:numId w:val="7"/>
        </w:numPr>
        <w:spacing w:before="0"/>
        <w:ind w:left="426"/>
        <w:rPr>
          <w:rFonts w:ascii="Comic Sans MS" w:eastAsiaTheme="minorHAnsi" w:hAnsi="Comic Sans MS" w:cstheme="minorHAnsi"/>
          <w:b/>
          <w:bCs/>
        </w:rPr>
      </w:pPr>
      <w:r w:rsidRPr="009F25CF">
        <w:rPr>
          <w:rFonts w:ascii="Comic Sans MS" w:eastAsiaTheme="minorHAnsi" w:hAnsi="Comic Sans MS" w:cstheme="minorHAnsi"/>
          <w:b/>
          <w:bCs/>
        </w:rPr>
        <w:t xml:space="preserve">  Mesures d’atténuation d’ordre </w:t>
      </w:r>
      <w:r>
        <w:rPr>
          <w:rFonts w:ascii="Comic Sans MS" w:eastAsiaTheme="minorHAnsi" w:hAnsi="Comic Sans MS" w:cstheme="minorHAnsi"/>
          <w:b/>
          <w:bCs/>
        </w:rPr>
        <w:t>réglementaire</w:t>
      </w:r>
    </w:p>
    <w:p w14:paraId="2923A877" w14:textId="01579AB4" w:rsidR="00674CBC" w:rsidRPr="00674CBC" w:rsidRDefault="00674CBC" w:rsidP="00674CBC">
      <w:pPr>
        <w:tabs>
          <w:tab w:val="left" w:pos="3410"/>
        </w:tabs>
        <w:autoSpaceDE w:val="0"/>
        <w:autoSpaceDN w:val="0"/>
        <w:adjustRightInd w:val="0"/>
        <w:spacing w:before="0" w:after="120"/>
        <w:ind w:left="0" w:firstLine="0"/>
        <w:rPr>
          <w:rFonts w:ascii="Comic Sans MS" w:hAnsi="Comic Sans MS" w:cs="Calibri"/>
          <w:sz w:val="24"/>
          <w:szCs w:val="24"/>
        </w:rPr>
      </w:pPr>
      <w:r w:rsidRPr="00674CBC">
        <w:rPr>
          <w:rFonts w:ascii="Comic Sans MS" w:hAnsi="Comic Sans MS" w:cs="Calibri"/>
          <w:sz w:val="24"/>
          <w:szCs w:val="24"/>
        </w:rPr>
        <w:t>Plusieurs textes législatifs ont été promulgués</w:t>
      </w:r>
      <w:r w:rsidR="001B69C1">
        <w:rPr>
          <w:rFonts w:ascii="Comic Sans MS" w:hAnsi="Comic Sans MS" w:cs="Calibri"/>
          <w:sz w:val="24"/>
          <w:szCs w:val="24"/>
        </w:rPr>
        <w:t xml:space="preserve"> par le pays</w:t>
      </w:r>
      <w:r w:rsidRPr="00674CBC">
        <w:rPr>
          <w:rFonts w:ascii="Comic Sans MS" w:hAnsi="Comic Sans MS" w:cs="Calibri"/>
          <w:sz w:val="24"/>
          <w:szCs w:val="24"/>
        </w:rPr>
        <w:t xml:space="preserve"> à cela s’ajoute la ratification des conventions, traités et accords internationaux. On cite parmi lesquels :</w:t>
      </w:r>
    </w:p>
    <w:p w14:paraId="1540E294" w14:textId="41251069" w:rsidR="00674CBC" w:rsidRDefault="00674CBC">
      <w:pPr>
        <w:pStyle w:val="Paragraphedeliste"/>
        <w:numPr>
          <w:ilvl w:val="0"/>
          <w:numId w:val="19"/>
        </w:numPr>
        <w:tabs>
          <w:tab w:val="left" w:pos="3410"/>
        </w:tabs>
        <w:autoSpaceDE w:val="0"/>
        <w:autoSpaceDN w:val="0"/>
        <w:adjustRightInd w:val="0"/>
        <w:spacing w:before="0" w:after="120"/>
        <w:rPr>
          <w:rFonts w:ascii="Comic Sans MS" w:hAnsi="Comic Sans MS" w:cs="Calibri"/>
        </w:rPr>
      </w:pPr>
      <w:r w:rsidRPr="00D11B41">
        <w:rPr>
          <w:rFonts w:ascii="Comic Sans MS" w:hAnsi="Comic Sans MS" w:cs="Calibri"/>
        </w:rPr>
        <w:t>Décret n°2009-104</w:t>
      </w:r>
      <w:r w:rsidR="00281857" w:rsidRPr="00D11B41">
        <w:rPr>
          <w:rFonts w:ascii="Comic Sans MS" w:hAnsi="Comic Sans MS" w:cs="Calibri"/>
        </w:rPr>
        <w:t xml:space="preserve"> </w:t>
      </w:r>
      <w:r w:rsidR="00281857">
        <w:rPr>
          <w:rFonts w:ascii="Comic Sans MS" w:hAnsi="Comic Sans MS" w:cs="Calibri"/>
        </w:rPr>
        <w:t xml:space="preserve">portant </w:t>
      </w:r>
      <w:r w:rsidR="00281857" w:rsidRPr="00D11B41">
        <w:rPr>
          <w:rFonts w:ascii="Comic Sans MS" w:hAnsi="Comic Sans MS" w:cs="Calibri"/>
        </w:rPr>
        <w:t>application</w:t>
      </w:r>
      <w:r w:rsidRPr="00D11B41">
        <w:rPr>
          <w:rFonts w:ascii="Comic Sans MS" w:hAnsi="Comic Sans MS" w:cs="Calibri"/>
        </w:rPr>
        <w:t xml:space="preserve"> de la loi n° 2007-55 </w:t>
      </w:r>
      <w:r w:rsidR="00281857">
        <w:rPr>
          <w:rFonts w:ascii="Comic Sans MS" w:hAnsi="Comic Sans MS" w:cs="Calibri"/>
        </w:rPr>
        <w:t>relative au</w:t>
      </w:r>
      <w:r w:rsidRPr="00D11B41">
        <w:rPr>
          <w:rFonts w:ascii="Comic Sans MS" w:hAnsi="Comic Sans MS" w:cs="Calibri"/>
        </w:rPr>
        <w:t xml:space="preserve"> code forestier. Ce code dans son intégralité adopte des mesures d’atténuation aux émissions des GES en particulier le CO</w:t>
      </w:r>
      <w:r w:rsidRPr="00D11B41">
        <w:rPr>
          <w:rFonts w:ascii="Comic Sans MS" w:hAnsi="Comic Sans MS" w:cs="Calibri"/>
          <w:vertAlign w:val="subscript"/>
        </w:rPr>
        <w:t>2</w:t>
      </w:r>
      <w:r w:rsidRPr="00D11B41">
        <w:rPr>
          <w:rFonts w:ascii="Comic Sans MS" w:hAnsi="Comic Sans MS" w:cs="Calibri"/>
        </w:rPr>
        <w:t xml:space="preserve">. </w:t>
      </w:r>
      <w:r w:rsidR="00D11B41" w:rsidRPr="00D11B41">
        <w:rPr>
          <w:rFonts w:ascii="Comic Sans MS" w:hAnsi="Comic Sans MS" w:cs="Calibri"/>
        </w:rPr>
        <w:t xml:space="preserve">Il fixe des mesures de </w:t>
      </w:r>
      <w:r w:rsidRPr="00D11B41">
        <w:rPr>
          <w:rFonts w:ascii="Comic Sans MS" w:hAnsi="Comic Sans MS" w:cs="Calibri"/>
        </w:rPr>
        <w:t>conservation et de rationalisation des puits de carbone à travers</w:t>
      </w:r>
      <w:r w:rsidR="00996DE7">
        <w:rPr>
          <w:rFonts w:ascii="Comic Sans MS" w:hAnsi="Comic Sans MS" w:cs="Calibri"/>
        </w:rPr>
        <w:t xml:space="preserve"> les procédures et obligations pour l’exploitation des combustibles ligneux ainsi que </w:t>
      </w:r>
      <w:r w:rsidRPr="00D11B41">
        <w:rPr>
          <w:rFonts w:ascii="Comic Sans MS" w:hAnsi="Comic Sans MS" w:cs="Calibri"/>
        </w:rPr>
        <w:t xml:space="preserve">l’instauration des mesures dissuasives pour les exploitations illicites </w:t>
      </w:r>
      <w:r w:rsidR="00D11B41" w:rsidRPr="00D11B41">
        <w:rPr>
          <w:rFonts w:ascii="Comic Sans MS" w:hAnsi="Comic Sans MS" w:cs="Calibri"/>
        </w:rPr>
        <w:t>des forêts et des terres boisées</w:t>
      </w:r>
      <w:r w:rsidR="00D11B41">
        <w:rPr>
          <w:rFonts w:ascii="Comic Sans MS" w:hAnsi="Comic Sans MS" w:cs="Calibri"/>
        </w:rPr>
        <w:t> ;</w:t>
      </w:r>
    </w:p>
    <w:p w14:paraId="38A7FB5E" w14:textId="77777777" w:rsidR="00281857" w:rsidRPr="00281857" w:rsidRDefault="00281857">
      <w:pPr>
        <w:pStyle w:val="Paragraphedeliste"/>
        <w:numPr>
          <w:ilvl w:val="0"/>
          <w:numId w:val="19"/>
        </w:numPr>
        <w:tabs>
          <w:tab w:val="left" w:pos="3410"/>
        </w:tabs>
        <w:autoSpaceDE w:val="0"/>
        <w:autoSpaceDN w:val="0"/>
        <w:adjustRightInd w:val="0"/>
        <w:spacing w:before="0" w:after="120"/>
        <w:rPr>
          <w:rFonts w:ascii="Comic Sans MS" w:hAnsi="Comic Sans MS" w:cs="Calibri"/>
        </w:rPr>
      </w:pPr>
      <w:r>
        <w:rPr>
          <w:rFonts w:ascii="Comic Sans MS" w:hAnsi="Comic Sans MS" w:cs="Calibri"/>
        </w:rPr>
        <w:t xml:space="preserve">Décret 2019-056 fixant les conditions d’exercice des activités </w:t>
      </w:r>
      <w:r>
        <w:rPr>
          <w:rFonts w:ascii="Comic Sans MS" w:hAnsi="Comic Sans MS" w:cstheme="minorHAnsi"/>
        </w:rPr>
        <w:t xml:space="preserve">de </w:t>
      </w:r>
      <w:r w:rsidRPr="00BF3A93">
        <w:rPr>
          <w:rFonts w:ascii="Comic Sans MS" w:eastAsiaTheme="minorHAnsi" w:hAnsi="Comic Sans MS" w:cstheme="minorHAnsi"/>
        </w:rPr>
        <w:t xml:space="preserve">l’importation, le stockage, l’enfûtage, </w:t>
      </w:r>
      <w:r>
        <w:rPr>
          <w:rFonts w:ascii="Comic Sans MS" w:eastAsiaTheme="minorHAnsi" w:hAnsi="Comic Sans MS" w:cstheme="minorHAnsi"/>
        </w:rPr>
        <w:t xml:space="preserve">le transport, </w:t>
      </w:r>
      <w:r w:rsidRPr="00BF3A93">
        <w:rPr>
          <w:rFonts w:ascii="Comic Sans MS" w:eastAsiaTheme="minorHAnsi" w:hAnsi="Comic Sans MS" w:cstheme="minorHAnsi"/>
        </w:rPr>
        <w:t>la distribution et la commercialisation du gaz butane</w:t>
      </w:r>
      <w:r>
        <w:rPr>
          <w:rFonts w:ascii="Comic Sans MS" w:eastAsiaTheme="minorHAnsi" w:hAnsi="Comic Sans MS" w:cstheme="minorHAnsi"/>
        </w:rPr>
        <w:t>.</w:t>
      </w:r>
    </w:p>
    <w:p w14:paraId="582195FD" w14:textId="23958476" w:rsidR="00D11B41" w:rsidRPr="00D11B41" w:rsidRDefault="00281857">
      <w:pPr>
        <w:pStyle w:val="Paragraphedeliste"/>
        <w:numPr>
          <w:ilvl w:val="0"/>
          <w:numId w:val="19"/>
        </w:numPr>
        <w:tabs>
          <w:tab w:val="left" w:pos="3410"/>
        </w:tabs>
        <w:autoSpaceDE w:val="0"/>
        <w:autoSpaceDN w:val="0"/>
        <w:adjustRightInd w:val="0"/>
        <w:spacing w:before="0" w:after="120"/>
        <w:rPr>
          <w:rFonts w:ascii="Comic Sans MS" w:hAnsi="Comic Sans MS" w:cs="Calibri"/>
        </w:rPr>
      </w:pPr>
      <w:r>
        <w:rPr>
          <w:rFonts w:ascii="Comic Sans MS" w:eastAsiaTheme="minorHAnsi" w:hAnsi="Comic Sans MS" w:cstheme="minorHAnsi"/>
        </w:rPr>
        <w:t xml:space="preserve">Lois annuelles des finances </w:t>
      </w:r>
      <w:r w:rsidR="00503B22">
        <w:rPr>
          <w:rFonts w:ascii="Comic Sans MS" w:hAnsi="Comic Sans MS" w:cs="Calibri"/>
        </w:rPr>
        <w:t>de l’Etat portant une partie consacrée à la ré</w:t>
      </w:r>
      <w:r w:rsidR="00503B22" w:rsidRPr="00503B22">
        <w:rPr>
          <w:rFonts w:ascii="Comic Sans MS" w:hAnsi="Comic Sans MS" w:cs="Calibri"/>
        </w:rPr>
        <w:t>gulation des produits pétroliers</w:t>
      </w:r>
      <w:r w:rsidR="00503B22">
        <w:rPr>
          <w:rFonts w:ascii="Comic Sans MS" w:hAnsi="Comic Sans MS" w:cs="Calibri"/>
        </w:rPr>
        <w:t xml:space="preserve"> sous forme des subventions.</w:t>
      </w:r>
    </w:p>
    <w:p w14:paraId="55D2757E" w14:textId="77777777" w:rsidR="002D4625" w:rsidRPr="00674CBC" w:rsidRDefault="002D4625" w:rsidP="00503B22">
      <w:pPr>
        <w:pStyle w:val="Paragraphedeliste"/>
        <w:tabs>
          <w:tab w:val="left" w:pos="3410"/>
        </w:tabs>
        <w:autoSpaceDE w:val="0"/>
        <w:autoSpaceDN w:val="0"/>
        <w:adjustRightInd w:val="0"/>
        <w:spacing w:before="0" w:after="120"/>
        <w:ind w:firstLine="0"/>
        <w:rPr>
          <w:rFonts w:ascii="Comic Sans MS" w:hAnsi="Comic Sans MS" w:cs="Calibri"/>
        </w:rPr>
      </w:pPr>
    </w:p>
    <w:p w14:paraId="4C816217" w14:textId="2B401E2D" w:rsidR="00D02119" w:rsidRPr="009F25CF" w:rsidRDefault="003E712B">
      <w:pPr>
        <w:pStyle w:val="Paragraphedeliste"/>
        <w:numPr>
          <w:ilvl w:val="0"/>
          <w:numId w:val="7"/>
        </w:numPr>
        <w:spacing w:before="0"/>
        <w:ind w:left="426"/>
        <w:rPr>
          <w:rFonts w:ascii="Comic Sans MS" w:eastAsiaTheme="minorHAnsi" w:hAnsi="Comic Sans MS" w:cstheme="minorHAnsi"/>
          <w:b/>
          <w:bCs/>
        </w:rPr>
      </w:pPr>
      <w:r w:rsidRPr="009F25CF">
        <w:rPr>
          <w:rFonts w:ascii="Comic Sans MS" w:eastAsiaTheme="minorHAnsi" w:hAnsi="Comic Sans MS" w:cstheme="minorHAnsi"/>
          <w:b/>
          <w:bCs/>
        </w:rPr>
        <w:t>Mesures d’atténuation</w:t>
      </w:r>
      <w:r w:rsidR="00664406" w:rsidRPr="009F25CF">
        <w:rPr>
          <w:rFonts w:ascii="Comic Sans MS" w:eastAsiaTheme="minorHAnsi" w:hAnsi="Comic Sans MS" w:cstheme="minorHAnsi"/>
          <w:b/>
          <w:bCs/>
        </w:rPr>
        <w:t xml:space="preserve"> d’ordre</w:t>
      </w:r>
      <w:r w:rsidR="00D02119" w:rsidRPr="009F25CF">
        <w:rPr>
          <w:rFonts w:ascii="Comic Sans MS" w:eastAsiaTheme="minorHAnsi" w:hAnsi="Comic Sans MS" w:cstheme="minorHAnsi"/>
          <w:b/>
          <w:bCs/>
        </w:rPr>
        <w:t xml:space="preserve"> </w:t>
      </w:r>
      <w:r w:rsidR="00664406" w:rsidRPr="009F25CF">
        <w:rPr>
          <w:rFonts w:ascii="Comic Sans MS" w:eastAsiaTheme="minorHAnsi" w:hAnsi="Comic Sans MS" w:cstheme="minorHAnsi"/>
          <w:b/>
          <w:bCs/>
        </w:rPr>
        <w:t>institutionnels</w:t>
      </w:r>
    </w:p>
    <w:p w14:paraId="310975D6" w14:textId="2A78D54B" w:rsidR="00307932" w:rsidRPr="009F25CF" w:rsidRDefault="00D02119" w:rsidP="00307932">
      <w:pPr>
        <w:spacing w:before="0" w:after="120"/>
        <w:ind w:left="0" w:firstLine="0"/>
        <w:rPr>
          <w:rFonts w:ascii="Comic Sans MS" w:hAnsi="Comic Sans MS" w:cs="Calibri"/>
          <w:sz w:val="24"/>
          <w:szCs w:val="24"/>
        </w:rPr>
      </w:pPr>
      <w:r w:rsidRPr="009F25CF">
        <w:rPr>
          <w:rFonts w:ascii="Comic Sans MS" w:hAnsi="Comic Sans MS" w:cs="Calibri"/>
          <w:sz w:val="24"/>
          <w:szCs w:val="24"/>
        </w:rPr>
        <w:t>L’Etat Mauritanien a engagé</w:t>
      </w:r>
      <w:r w:rsidR="00B82412" w:rsidRPr="009F25CF">
        <w:rPr>
          <w:rFonts w:ascii="Comic Sans MS" w:hAnsi="Comic Sans MS" w:cs="Calibri"/>
          <w:sz w:val="24"/>
          <w:szCs w:val="24"/>
        </w:rPr>
        <w:t xml:space="preserve"> des</w:t>
      </w:r>
      <w:r w:rsidRPr="009F25CF">
        <w:rPr>
          <w:rFonts w:ascii="Comic Sans MS" w:hAnsi="Comic Sans MS" w:cs="Calibri"/>
          <w:sz w:val="24"/>
          <w:szCs w:val="24"/>
        </w:rPr>
        <w:t xml:space="preserve"> réformes institutionnelles visant </w:t>
      </w:r>
      <w:r w:rsidR="00503B22">
        <w:rPr>
          <w:rFonts w:ascii="Comic Sans MS" w:hAnsi="Comic Sans MS" w:cs="Calibri"/>
          <w:sz w:val="24"/>
          <w:szCs w:val="24"/>
        </w:rPr>
        <w:t xml:space="preserve">l’élaboration et la mise en œuvre de la politique nationale dans les domaines des énergies et de la foresterie. </w:t>
      </w:r>
      <w:r w:rsidR="00B82412" w:rsidRPr="009F25CF">
        <w:rPr>
          <w:rFonts w:ascii="Comic Sans MS" w:hAnsi="Comic Sans MS" w:cs="Calibri"/>
          <w:sz w:val="24"/>
          <w:szCs w:val="24"/>
        </w:rPr>
        <w:t>A cet effet, il a été créé</w:t>
      </w:r>
      <w:r w:rsidR="00307932" w:rsidRPr="009F25CF">
        <w:rPr>
          <w:rFonts w:ascii="Comic Sans MS" w:hAnsi="Comic Sans MS" w:cs="Calibri"/>
          <w:sz w:val="24"/>
          <w:szCs w:val="24"/>
        </w:rPr>
        <w:t xml:space="preserve"> : </w:t>
      </w:r>
    </w:p>
    <w:p w14:paraId="3FE94D8B" w14:textId="618C0816" w:rsidR="00307932" w:rsidRPr="009F25CF" w:rsidRDefault="00B82412">
      <w:pPr>
        <w:pStyle w:val="Paragraphedeliste"/>
        <w:numPr>
          <w:ilvl w:val="0"/>
          <w:numId w:val="8"/>
        </w:numPr>
        <w:spacing w:before="0"/>
        <w:rPr>
          <w:rFonts w:ascii="Comic Sans MS" w:hAnsi="Comic Sans MS" w:cstheme="minorHAnsi"/>
        </w:rPr>
      </w:pPr>
      <w:r w:rsidRPr="009F25CF">
        <w:rPr>
          <w:rFonts w:ascii="Comic Sans MS" w:hAnsi="Comic Sans MS" w:cstheme="minorHAnsi"/>
        </w:rPr>
        <w:t xml:space="preserve">une direction </w:t>
      </w:r>
      <w:r w:rsidR="003F03F2">
        <w:rPr>
          <w:rFonts w:ascii="Comic Sans MS" w:hAnsi="Comic Sans MS" w:cstheme="minorHAnsi"/>
        </w:rPr>
        <w:t xml:space="preserve">centrale </w:t>
      </w:r>
      <w:r w:rsidRPr="009F25CF">
        <w:rPr>
          <w:rFonts w:ascii="Comic Sans MS" w:hAnsi="Comic Sans MS" w:cstheme="minorHAnsi"/>
        </w:rPr>
        <w:t xml:space="preserve">chargé de la </w:t>
      </w:r>
      <w:r w:rsidR="003F03F2">
        <w:rPr>
          <w:rFonts w:ascii="Comic Sans MS" w:hAnsi="Comic Sans MS" w:cstheme="minorHAnsi"/>
        </w:rPr>
        <w:t xml:space="preserve">foresterie (exploitation des combustibles </w:t>
      </w:r>
      <w:r w:rsidR="00DD19DA">
        <w:rPr>
          <w:rFonts w:ascii="Comic Sans MS" w:hAnsi="Comic Sans MS" w:cstheme="minorHAnsi"/>
        </w:rPr>
        <w:t>ligneux) au</w:t>
      </w:r>
      <w:r w:rsidR="003F03F2">
        <w:rPr>
          <w:rFonts w:ascii="Comic Sans MS" w:hAnsi="Comic Sans MS" w:cstheme="minorHAnsi"/>
        </w:rPr>
        <w:t xml:space="preserve"> sein du Mini</w:t>
      </w:r>
      <w:r w:rsidR="00D02119" w:rsidRPr="009F25CF">
        <w:rPr>
          <w:rFonts w:ascii="Comic Sans MS" w:hAnsi="Comic Sans MS" w:cstheme="minorHAnsi"/>
        </w:rPr>
        <w:t xml:space="preserve">stère chargé de l’Environnement </w:t>
      </w:r>
      <w:r w:rsidR="003F03F2">
        <w:rPr>
          <w:rFonts w:ascii="Comic Sans MS" w:hAnsi="Comic Sans MS" w:cstheme="minorHAnsi"/>
        </w:rPr>
        <w:t>et</w:t>
      </w:r>
    </w:p>
    <w:p w14:paraId="530598E0" w14:textId="59515A7F" w:rsidR="00307932" w:rsidRPr="009F25CF" w:rsidRDefault="003F03F2">
      <w:pPr>
        <w:pStyle w:val="Paragraphedeliste"/>
        <w:numPr>
          <w:ilvl w:val="0"/>
          <w:numId w:val="8"/>
        </w:numPr>
        <w:spacing w:before="0"/>
        <w:rPr>
          <w:rFonts w:ascii="Comic Sans MS" w:hAnsi="Comic Sans MS" w:cstheme="minorHAnsi"/>
        </w:rPr>
      </w:pPr>
      <w:r>
        <w:rPr>
          <w:rFonts w:ascii="Comic Sans MS" w:hAnsi="Comic Sans MS" w:cstheme="minorHAnsi"/>
        </w:rPr>
        <w:t>une d</w:t>
      </w:r>
      <w:r w:rsidR="00503B22" w:rsidRPr="00503B22">
        <w:rPr>
          <w:rFonts w:ascii="Comic Sans MS" w:hAnsi="Comic Sans MS" w:cstheme="minorHAnsi"/>
        </w:rPr>
        <w:t xml:space="preserve">irection </w:t>
      </w:r>
      <w:r>
        <w:rPr>
          <w:rFonts w:ascii="Comic Sans MS" w:hAnsi="Comic Sans MS" w:cstheme="minorHAnsi"/>
        </w:rPr>
        <w:t xml:space="preserve">centrale chargé </w:t>
      </w:r>
      <w:r w:rsidR="00503B22" w:rsidRPr="00503B22">
        <w:rPr>
          <w:rFonts w:ascii="Comic Sans MS" w:hAnsi="Comic Sans MS" w:cstheme="minorHAnsi"/>
        </w:rPr>
        <w:t xml:space="preserve">de l’Approvisionnement et de </w:t>
      </w:r>
      <w:r>
        <w:rPr>
          <w:rFonts w:ascii="Comic Sans MS" w:hAnsi="Comic Sans MS" w:cstheme="minorHAnsi"/>
        </w:rPr>
        <w:t>d</w:t>
      </w:r>
      <w:r w:rsidR="00503B22" w:rsidRPr="00503B22">
        <w:rPr>
          <w:rFonts w:ascii="Comic Sans MS" w:hAnsi="Comic Sans MS" w:cstheme="minorHAnsi"/>
        </w:rPr>
        <w:t xml:space="preserve">istribution des produits raffinés, de l’approvisionnement, du transport, du stockage, de la distribution </w:t>
      </w:r>
      <w:r>
        <w:rPr>
          <w:rFonts w:ascii="Comic Sans MS" w:hAnsi="Comic Sans MS" w:cstheme="minorHAnsi"/>
        </w:rPr>
        <w:t xml:space="preserve">du gaz butane au sein du Ministère chargé des énergies. </w:t>
      </w:r>
    </w:p>
    <w:p w14:paraId="3C47A94C" w14:textId="77777777" w:rsidR="00D02119" w:rsidRDefault="00D02119" w:rsidP="00547D91">
      <w:pPr>
        <w:pStyle w:val="Paragraphedeliste"/>
        <w:spacing w:before="0"/>
        <w:ind w:left="425" w:firstLine="0"/>
        <w:contextualSpacing w:val="0"/>
        <w:rPr>
          <w:rFonts w:ascii="Comic Sans MS" w:hAnsi="Comic Sans MS" w:cstheme="minorHAnsi"/>
        </w:rPr>
      </w:pPr>
    </w:p>
    <w:p w14:paraId="387284E6" w14:textId="77777777" w:rsidR="003F03F2" w:rsidRPr="009F25CF" w:rsidRDefault="003F03F2" w:rsidP="00547D91">
      <w:pPr>
        <w:pStyle w:val="Paragraphedeliste"/>
        <w:spacing w:before="0"/>
        <w:ind w:left="425" w:firstLine="0"/>
        <w:contextualSpacing w:val="0"/>
        <w:rPr>
          <w:rFonts w:ascii="Comic Sans MS" w:hAnsi="Comic Sans MS" w:cstheme="minorHAnsi"/>
        </w:rPr>
      </w:pPr>
    </w:p>
    <w:p w14:paraId="6E0A4A50" w14:textId="115F5697" w:rsidR="00BF111D" w:rsidRPr="009F25CF" w:rsidRDefault="001F120E">
      <w:pPr>
        <w:pStyle w:val="Titre1"/>
        <w:numPr>
          <w:ilvl w:val="0"/>
          <w:numId w:val="10"/>
        </w:numPr>
        <w:bidi w:val="0"/>
        <w:spacing w:before="0"/>
        <w:ind w:left="851" w:hanging="851"/>
        <w:jc w:val="left"/>
        <w:rPr>
          <w:rFonts w:ascii="Comic Sans MS" w:hAnsi="Comic Sans MS" w:cstheme="minorHAnsi"/>
          <w:sz w:val="24"/>
          <w:szCs w:val="24"/>
          <w:lang w:val="fr-FR"/>
        </w:rPr>
      </w:pPr>
      <w:bookmarkStart w:id="24" w:name="_Toc166937618"/>
      <w:r w:rsidRPr="009F25CF">
        <w:rPr>
          <w:rFonts w:ascii="Comic Sans MS" w:hAnsi="Comic Sans MS" w:cstheme="minorHAnsi"/>
          <w:sz w:val="24"/>
          <w:szCs w:val="24"/>
          <w:lang w:val="fr-FR"/>
        </w:rPr>
        <w:t xml:space="preserve">Etat de réalisation </w:t>
      </w:r>
      <w:r w:rsidR="007824A4" w:rsidRPr="009F25CF">
        <w:rPr>
          <w:rFonts w:ascii="Comic Sans MS" w:hAnsi="Comic Sans MS" w:cstheme="minorHAnsi"/>
          <w:sz w:val="24"/>
          <w:szCs w:val="24"/>
          <w:lang w:val="fr-FR"/>
        </w:rPr>
        <w:t xml:space="preserve">des mesures d’atténuation </w:t>
      </w:r>
      <w:r w:rsidR="008F4751" w:rsidRPr="009F25CF">
        <w:rPr>
          <w:rFonts w:ascii="Comic Sans MS" w:hAnsi="Comic Sans MS" w:cstheme="minorHAnsi"/>
          <w:sz w:val="24"/>
          <w:szCs w:val="24"/>
          <w:lang w:val="fr-FR"/>
        </w:rPr>
        <w:t xml:space="preserve">des GES du sous-secteur </w:t>
      </w:r>
      <w:r w:rsidR="002F430A">
        <w:rPr>
          <w:rFonts w:ascii="Comic Sans MS" w:hAnsi="Comic Sans MS" w:cstheme="minorHAnsi"/>
          <w:sz w:val="24"/>
          <w:szCs w:val="24"/>
          <w:lang w:val="fr-FR"/>
        </w:rPr>
        <w:t>énergies résidentielles</w:t>
      </w:r>
      <w:bookmarkEnd w:id="24"/>
      <w:r w:rsidRPr="009F25CF">
        <w:rPr>
          <w:rFonts w:ascii="Comic Sans MS" w:hAnsi="Comic Sans MS" w:cstheme="minorHAnsi"/>
          <w:sz w:val="24"/>
          <w:szCs w:val="24"/>
          <w:lang w:val="fr-FR"/>
        </w:rPr>
        <w:t xml:space="preserve"> </w:t>
      </w:r>
    </w:p>
    <w:p w14:paraId="194E4C37" w14:textId="431039EB" w:rsidR="002F430A" w:rsidRDefault="007824A4" w:rsidP="00E32094">
      <w:pPr>
        <w:spacing w:before="0"/>
        <w:ind w:left="0" w:firstLine="0"/>
        <w:rPr>
          <w:rFonts w:ascii="Comic Sans MS" w:hAnsi="Comic Sans MS" w:cs="Calibri"/>
          <w:sz w:val="24"/>
          <w:szCs w:val="24"/>
        </w:rPr>
      </w:pPr>
      <w:r w:rsidRPr="009F25CF">
        <w:rPr>
          <w:rFonts w:ascii="Comic Sans MS" w:hAnsi="Comic Sans MS"/>
          <w:sz w:val="24"/>
          <w:szCs w:val="24"/>
        </w:rPr>
        <w:t>L</w:t>
      </w:r>
      <w:r w:rsidR="00671C34" w:rsidRPr="009F25CF">
        <w:rPr>
          <w:rFonts w:ascii="Comic Sans MS" w:hAnsi="Comic Sans MS"/>
          <w:sz w:val="24"/>
          <w:szCs w:val="24"/>
        </w:rPr>
        <w:t>e pays a défini d</w:t>
      </w:r>
      <w:r w:rsidRPr="009F25CF">
        <w:rPr>
          <w:rFonts w:ascii="Comic Sans MS" w:hAnsi="Comic Sans MS"/>
          <w:sz w:val="24"/>
          <w:szCs w:val="24"/>
        </w:rPr>
        <w:t>e</w:t>
      </w:r>
      <w:r w:rsidR="00B85415" w:rsidRPr="009F25CF">
        <w:rPr>
          <w:rFonts w:ascii="Comic Sans MS" w:hAnsi="Comic Sans MS"/>
          <w:sz w:val="24"/>
          <w:szCs w:val="24"/>
        </w:rPr>
        <w:t>s</w:t>
      </w:r>
      <w:r w:rsidRPr="009F25CF">
        <w:rPr>
          <w:rFonts w:ascii="Comic Sans MS" w:hAnsi="Comic Sans MS"/>
          <w:sz w:val="24"/>
          <w:szCs w:val="24"/>
        </w:rPr>
        <w:t xml:space="preserve"> mesures d’atténuation</w:t>
      </w:r>
      <w:r w:rsidR="003573E4" w:rsidRPr="009F25CF">
        <w:rPr>
          <w:rFonts w:ascii="Comic Sans MS" w:hAnsi="Comic Sans MS"/>
          <w:sz w:val="24"/>
          <w:szCs w:val="24"/>
        </w:rPr>
        <w:t xml:space="preserve"> visant</w:t>
      </w:r>
      <w:r w:rsidR="002F430A">
        <w:rPr>
          <w:rFonts w:ascii="Comic Sans MS" w:hAnsi="Comic Sans MS"/>
          <w:sz w:val="24"/>
          <w:szCs w:val="24"/>
        </w:rPr>
        <w:t xml:space="preserve"> à réduire considérablement </w:t>
      </w:r>
      <w:r w:rsidR="003573E4" w:rsidRPr="009F25CF">
        <w:rPr>
          <w:rFonts w:ascii="Comic Sans MS" w:hAnsi="Comic Sans MS"/>
          <w:sz w:val="24"/>
          <w:szCs w:val="24"/>
        </w:rPr>
        <w:t xml:space="preserve">la tendance des émissions du sous-secteur </w:t>
      </w:r>
      <w:r w:rsidR="002F430A">
        <w:rPr>
          <w:rFonts w:ascii="Comic Sans MS" w:hAnsi="Comic Sans MS"/>
          <w:sz w:val="24"/>
          <w:szCs w:val="24"/>
        </w:rPr>
        <w:t>énergies résidentielles</w:t>
      </w:r>
      <w:r w:rsidR="003573E4" w:rsidRPr="009F25CF">
        <w:rPr>
          <w:rFonts w:ascii="Comic Sans MS" w:hAnsi="Comic Sans MS"/>
          <w:sz w:val="24"/>
          <w:szCs w:val="24"/>
        </w:rPr>
        <w:t xml:space="preserve"> à l’horizon 20</w:t>
      </w:r>
      <w:r w:rsidR="00664406" w:rsidRPr="009F25CF">
        <w:rPr>
          <w:rFonts w:ascii="Comic Sans MS" w:hAnsi="Comic Sans MS"/>
          <w:sz w:val="24"/>
          <w:szCs w:val="24"/>
        </w:rPr>
        <w:t>30</w:t>
      </w:r>
      <w:r w:rsidR="003939C7">
        <w:rPr>
          <w:rFonts w:ascii="Comic Sans MS" w:hAnsi="Comic Sans MS"/>
          <w:sz w:val="24"/>
          <w:szCs w:val="24"/>
        </w:rPr>
        <w:t xml:space="preserve"> à</w:t>
      </w:r>
      <w:r w:rsidR="00671C34" w:rsidRPr="009F25CF">
        <w:rPr>
          <w:rFonts w:ascii="Comic Sans MS" w:hAnsi="Comic Sans MS"/>
          <w:sz w:val="24"/>
          <w:szCs w:val="24"/>
        </w:rPr>
        <w:t xml:space="preserve"> travers </w:t>
      </w:r>
      <w:r w:rsidR="002F430A" w:rsidRPr="009F25CF">
        <w:rPr>
          <w:rFonts w:ascii="Comic Sans MS" w:hAnsi="Comic Sans MS" w:cs="Calibri"/>
          <w:sz w:val="24"/>
          <w:szCs w:val="24"/>
        </w:rPr>
        <w:t>la promotion</w:t>
      </w:r>
      <w:r w:rsidR="002F430A">
        <w:rPr>
          <w:rFonts w:ascii="Comic Sans MS" w:hAnsi="Comic Sans MS" w:cs="Calibri"/>
          <w:sz w:val="24"/>
          <w:szCs w:val="24"/>
        </w:rPr>
        <w:t xml:space="preserve"> de l’utilisation du gaz butane comme énergie de substitution aux combustibles ligneux d’une part et par la rationalisation de l’utilisation des combustibles ligneux par l</w:t>
      </w:r>
      <w:r w:rsidR="00DD399D">
        <w:rPr>
          <w:rFonts w:ascii="Comic Sans MS" w:hAnsi="Comic Sans MS" w:cs="Calibri"/>
          <w:sz w:val="24"/>
          <w:szCs w:val="24"/>
        </w:rPr>
        <w:t>’utilisation</w:t>
      </w:r>
      <w:r w:rsidR="002F430A">
        <w:rPr>
          <w:rFonts w:ascii="Comic Sans MS" w:hAnsi="Comic Sans MS" w:cs="Calibri"/>
          <w:sz w:val="24"/>
          <w:szCs w:val="24"/>
        </w:rPr>
        <w:t xml:space="preserve"> des technologies d’efficacité énergétique via la diffusion des foyers améliorés d’autre part.   </w:t>
      </w:r>
    </w:p>
    <w:p w14:paraId="138F1BD0" w14:textId="77777777" w:rsidR="002F430A" w:rsidRDefault="002F430A" w:rsidP="00E32094">
      <w:pPr>
        <w:spacing w:before="0"/>
        <w:ind w:left="0" w:firstLine="0"/>
        <w:rPr>
          <w:rFonts w:ascii="Comic Sans MS" w:hAnsi="Comic Sans MS"/>
          <w:sz w:val="24"/>
          <w:szCs w:val="24"/>
        </w:rPr>
      </w:pPr>
    </w:p>
    <w:p w14:paraId="028028F5" w14:textId="28E5028C" w:rsidR="003939C7" w:rsidRDefault="00671C34" w:rsidP="003939C7">
      <w:pPr>
        <w:spacing w:before="0"/>
        <w:ind w:left="0" w:firstLine="0"/>
        <w:rPr>
          <w:rFonts w:ascii="Comic Sans MS" w:hAnsi="Comic Sans MS"/>
          <w:sz w:val="24"/>
          <w:szCs w:val="24"/>
        </w:rPr>
      </w:pPr>
      <w:r w:rsidRPr="009F25CF">
        <w:rPr>
          <w:rFonts w:ascii="Comic Sans MS" w:hAnsi="Comic Sans MS"/>
          <w:sz w:val="24"/>
          <w:szCs w:val="24"/>
        </w:rPr>
        <w:lastRenderedPageBreak/>
        <w:t>L’analyse des données existantes,</w:t>
      </w:r>
      <w:r w:rsidR="007824A4" w:rsidRPr="009F25CF">
        <w:rPr>
          <w:rFonts w:ascii="Comic Sans MS" w:hAnsi="Comic Sans MS"/>
          <w:sz w:val="24"/>
          <w:szCs w:val="24"/>
        </w:rPr>
        <w:t xml:space="preserve"> a montré que la</w:t>
      </w:r>
      <w:r w:rsidR="004E5C0A">
        <w:rPr>
          <w:rFonts w:ascii="Comic Sans MS" w:hAnsi="Comic Sans MS"/>
          <w:sz w:val="24"/>
          <w:szCs w:val="24"/>
        </w:rPr>
        <w:t xml:space="preserve"> politique de </w:t>
      </w:r>
      <w:proofErr w:type="spellStart"/>
      <w:r w:rsidR="004E5C0A">
        <w:rPr>
          <w:rFonts w:ascii="Comic Sans MS" w:hAnsi="Comic Sans MS"/>
          <w:sz w:val="24"/>
          <w:szCs w:val="24"/>
        </w:rPr>
        <w:t>butanisation</w:t>
      </w:r>
      <w:proofErr w:type="spellEnd"/>
      <w:r w:rsidR="004E5C0A">
        <w:rPr>
          <w:rFonts w:ascii="Comic Sans MS" w:hAnsi="Comic Sans MS"/>
          <w:sz w:val="24"/>
          <w:szCs w:val="24"/>
        </w:rPr>
        <w:t xml:space="preserve"> a enregistré</w:t>
      </w:r>
      <w:r w:rsidR="007824A4" w:rsidRPr="009F25CF">
        <w:rPr>
          <w:rFonts w:ascii="Comic Sans MS" w:hAnsi="Comic Sans MS"/>
          <w:sz w:val="24"/>
          <w:szCs w:val="24"/>
        </w:rPr>
        <w:t xml:space="preserve"> </w:t>
      </w:r>
      <w:r w:rsidR="004E5C0A">
        <w:rPr>
          <w:rFonts w:ascii="Comic Sans MS" w:hAnsi="Comic Sans MS"/>
          <w:sz w:val="24"/>
          <w:szCs w:val="24"/>
        </w:rPr>
        <w:t xml:space="preserve">un grand progrès </w:t>
      </w:r>
      <w:r w:rsidR="009C0472">
        <w:rPr>
          <w:rFonts w:ascii="Comic Sans MS" w:hAnsi="Comic Sans MS"/>
          <w:sz w:val="24"/>
          <w:szCs w:val="24"/>
        </w:rPr>
        <w:t xml:space="preserve">évalué à </w:t>
      </w:r>
      <w:r w:rsidR="004E5C0A">
        <w:rPr>
          <w:rFonts w:ascii="Comic Sans MS" w:hAnsi="Comic Sans MS"/>
          <w:sz w:val="24"/>
          <w:szCs w:val="24"/>
        </w:rPr>
        <w:t xml:space="preserve">environ 700% par rapport à la situation de la consommation du gaz butane en 1987. </w:t>
      </w:r>
      <w:r w:rsidR="00DD399D">
        <w:rPr>
          <w:rFonts w:ascii="Comic Sans MS" w:hAnsi="Comic Sans MS"/>
          <w:sz w:val="24"/>
          <w:szCs w:val="24"/>
        </w:rPr>
        <w:t>Le gaz butane est</w:t>
      </w:r>
      <w:r w:rsidR="009C0472">
        <w:rPr>
          <w:rFonts w:ascii="Comic Sans MS" w:hAnsi="Comic Sans MS"/>
          <w:sz w:val="24"/>
          <w:szCs w:val="24"/>
        </w:rPr>
        <w:t xml:space="preserve">, actuellement en 2020, la première énergie résidentielle utilisée pour le cuisson des aliments par 50% des ménage au niveau national. Malgré la mise en œuvre, depuis 32 ans, d’une politique de </w:t>
      </w:r>
      <w:proofErr w:type="spellStart"/>
      <w:r w:rsidR="009C0472">
        <w:rPr>
          <w:rFonts w:ascii="Comic Sans MS" w:hAnsi="Comic Sans MS"/>
          <w:sz w:val="24"/>
          <w:szCs w:val="24"/>
        </w:rPr>
        <w:t>butanisation</w:t>
      </w:r>
      <w:proofErr w:type="spellEnd"/>
      <w:r w:rsidR="009C0472">
        <w:rPr>
          <w:rFonts w:ascii="Comic Sans MS" w:hAnsi="Comic Sans MS"/>
          <w:sz w:val="24"/>
          <w:szCs w:val="24"/>
        </w:rPr>
        <w:t xml:space="preserve"> libérale et hautement subventionnée par l’Etat, les différentes sociétés opérant dans cette filière n’ont pas encore la capacité de stockage et d’enfutage pour couvrir la totalité des besoins de la population en cette énergie. </w:t>
      </w:r>
      <w:r w:rsidR="003939C7">
        <w:rPr>
          <w:rFonts w:ascii="Comic Sans MS" w:hAnsi="Comic Sans MS"/>
          <w:sz w:val="24"/>
          <w:szCs w:val="24"/>
        </w:rPr>
        <w:t>L</w:t>
      </w:r>
      <w:r w:rsidR="009C0472">
        <w:rPr>
          <w:rFonts w:ascii="Comic Sans MS" w:hAnsi="Comic Sans MS"/>
          <w:sz w:val="24"/>
          <w:szCs w:val="24"/>
        </w:rPr>
        <w:t xml:space="preserve">a filière affronte un très grand défis à surmonter celui de la distribution des </w:t>
      </w:r>
      <w:proofErr w:type="spellStart"/>
      <w:r w:rsidR="000A342F">
        <w:rPr>
          <w:rFonts w:ascii="Comic Sans MS" w:hAnsi="Comic Sans MS"/>
          <w:sz w:val="24"/>
          <w:szCs w:val="24"/>
        </w:rPr>
        <w:t>bonbonnes</w:t>
      </w:r>
      <w:r w:rsidR="009C0472">
        <w:rPr>
          <w:rFonts w:ascii="Comic Sans MS" w:hAnsi="Comic Sans MS"/>
          <w:sz w:val="24"/>
          <w:szCs w:val="24"/>
        </w:rPr>
        <w:t>s</w:t>
      </w:r>
      <w:proofErr w:type="spellEnd"/>
      <w:r w:rsidR="009C0472">
        <w:rPr>
          <w:rFonts w:ascii="Comic Sans MS" w:hAnsi="Comic Sans MS"/>
          <w:sz w:val="24"/>
          <w:szCs w:val="24"/>
        </w:rPr>
        <w:t xml:space="preserve"> de gaz butane sur l’ensable du territoire national. </w:t>
      </w:r>
      <w:r w:rsidR="003939C7">
        <w:rPr>
          <w:rFonts w:ascii="Comic Sans MS" w:hAnsi="Comic Sans MS"/>
          <w:sz w:val="24"/>
          <w:szCs w:val="24"/>
        </w:rPr>
        <w:t xml:space="preserve">Les habitudes culinaires de la société et la pauvreté sont également un autre grand défis posé pour cette filière ce qui limite </w:t>
      </w:r>
      <w:r w:rsidR="00DD19DA">
        <w:rPr>
          <w:rFonts w:ascii="Comic Sans MS" w:hAnsi="Comic Sans MS"/>
          <w:sz w:val="24"/>
          <w:szCs w:val="24"/>
        </w:rPr>
        <w:t xml:space="preserve">considérablement </w:t>
      </w:r>
      <w:r w:rsidR="003939C7">
        <w:rPr>
          <w:rFonts w:ascii="Comic Sans MS" w:hAnsi="Comic Sans MS"/>
          <w:sz w:val="24"/>
          <w:szCs w:val="24"/>
        </w:rPr>
        <w:t xml:space="preserve">l’utilisation du gaz butane en milieu rural. Cette situation </w:t>
      </w:r>
      <w:r w:rsidR="00DD399D">
        <w:rPr>
          <w:rFonts w:ascii="Comic Sans MS" w:hAnsi="Comic Sans MS"/>
          <w:sz w:val="24"/>
          <w:szCs w:val="24"/>
        </w:rPr>
        <w:t xml:space="preserve">a </w:t>
      </w:r>
      <w:r w:rsidR="003939C7">
        <w:rPr>
          <w:rFonts w:ascii="Comic Sans MS" w:hAnsi="Comic Sans MS"/>
          <w:sz w:val="24"/>
          <w:szCs w:val="24"/>
        </w:rPr>
        <w:t>pouss</w:t>
      </w:r>
      <w:r w:rsidR="00DD399D">
        <w:rPr>
          <w:rFonts w:ascii="Comic Sans MS" w:hAnsi="Comic Sans MS"/>
          <w:sz w:val="24"/>
          <w:szCs w:val="24"/>
        </w:rPr>
        <w:t>é</w:t>
      </w:r>
      <w:r w:rsidR="003939C7">
        <w:rPr>
          <w:rFonts w:ascii="Comic Sans MS" w:hAnsi="Comic Sans MS"/>
          <w:sz w:val="24"/>
          <w:szCs w:val="24"/>
        </w:rPr>
        <w:t xml:space="preserve"> une grande frange des ménages pauvres </w:t>
      </w:r>
      <w:r w:rsidR="00DD399D">
        <w:rPr>
          <w:rFonts w:ascii="Comic Sans MS" w:hAnsi="Comic Sans MS"/>
          <w:sz w:val="24"/>
          <w:szCs w:val="24"/>
        </w:rPr>
        <w:t xml:space="preserve">surtout </w:t>
      </w:r>
      <w:r w:rsidR="003939C7">
        <w:rPr>
          <w:rFonts w:ascii="Comic Sans MS" w:hAnsi="Comic Sans MS"/>
          <w:sz w:val="24"/>
          <w:szCs w:val="24"/>
        </w:rPr>
        <w:t xml:space="preserve">en milieu rural </w:t>
      </w:r>
      <w:r w:rsidR="00DD399D">
        <w:rPr>
          <w:rFonts w:ascii="Comic Sans MS" w:hAnsi="Comic Sans MS"/>
          <w:sz w:val="24"/>
          <w:szCs w:val="24"/>
        </w:rPr>
        <w:t xml:space="preserve">à </w:t>
      </w:r>
      <w:r w:rsidR="003939C7">
        <w:rPr>
          <w:rFonts w:ascii="Comic Sans MS" w:hAnsi="Comic Sans MS"/>
          <w:sz w:val="24"/>
          <w:szCs w:val="24"/>
        </w:rPr>
        <w:t xml:space="preserve">utiliser les combustibles ligneux disponibles à </w:t>
      </w:r>
      <w:r w:rsidR="00DD399D">
        <w:rPr>
          <w:rFonts w:ascii="Comic Sans MS" w:hAnsi="Comic Sans MS"/>
          <w:sz w:val="24"/>
          <w:szCs w:val="24"/>
        </w:rPr>
        <w:t xml:space="preserve">proximité et à </w:t>
      </w:r>
      <w:r w:rsidR="003939C7">
        <w:rPr>
          <w:rFonts w:ascii="Comic Sans MS" w:hAnsi="Comic Sans MS"/>
          <w:sz w:val="24"/>
          <w:szCs w:val="24"/>
        </w:rPr>
        <w:t>tout moment de l’année et souvent gratuit (</w:t>
      </w:r>
      <w:r w:rsidR="00DD399D">
        <w:rPr>
          <w:rFonts w:ascii="Comic Sans MS" w:hAnsi="Comic Sans MS"/>
          <w:sz w:val="24"/>
          <w:szCs w:val="24"/>
        </w:rPr>
        <w:t xml:space="preserve">collecte </w:t>
      </w:r>
      <w:r w:rsidR="003939C7">
        <w:rPr>
          <w:rFonts w:ascii="Comic Sans MS" w:hAnsi="Comic Sans MS"/>
          <w:sz w:val="24"/>
          <w:szCs w:val="24"/>
        </w:rPr>
        <w:t>bois de chauffe</w:t>
      </w:r>
      <w:r w:rsidR="00DD399D">
        <w:rPr>
          <w:rFonts w:ascii="Comic Sans MS" w:hAnsi="Comic Sans MS"/>
          <w:sz w:val="24"/>
          <w:szCs w:val="24"/>
        </w:rPr>
        <w:t xml:space="preserve"> comme un droit d’usage garanti par la loi</w:t>
      </w:r>
      <w:r w:rsidR="003939C7">
        <w:rPr>
          <w:rFonts w:ascii="Comic Sans MS" w:hAnsi="Comic Sans MS"/>
          <w:sz w:val="24"/>
          <w:szCs w:val="24"/>
        </w:rPr>
        <w:t xml:space="preserve">). </w:t>
      </w:r>
    </w:p>
    <w:p w14:paraId="3B94C5C7" w14:textId="77777777" w:rsidR="003939C7" w:rsidRDefault="003939C7" w:rsidP="003939C7">
      <w:pPr>
        <w:spacing w:before="0"/>
        <w:ind w:left="0" w:firstLine="0"/>
        <w:rPr>
          <w:rFonts w:ascii="Comic Sans MS" w:hAnsi="Comic Sans MS"/>
          <w:sz w:val="24"/>
          <w:szCs w:val="24"/>
        </w:rPr>
      </w:pPr>
    </w:p>
    <w:p w14:paraId="4E4CC8D7" w14:textId="77777777" w:rsidR="007F3618" w:rsidRDefault="00696E86" w:rsidP="007F3618">
      <w:pPr>
        <w:spacing w:before="0" w:after="120"/>
        <w:ind w:left="0" w:firstLine="0"/>
        <w:rPr>
          <w:rFonts w:ascii="Comic Sans MS" w:hAnsi="Comic Sans MS"/>
          <w:sz w:val="24"/>
          <w:szCs w:val="24"/>
        </w:rPr>
      </w:pPr>
      <w:r>
        <w:rPr>
          <w:rFonts w:ascii="Comic Sans MS" w:hAnsi="Comic Sans MS"/>
          <w:sz w:val="24"/>
          <w:szCs w:val="24"/>
        </w:rPr>
        <w:t xml:space="preserve">S’agissant de la deuxième mesure d’atténuation du sous-secteur énergies résidentielles </w:t>
      </w:r>
      <w:r w:rsidR="003939C7">
        <w:rPr>
          <w:rFonts w:ascii="Comic Sans MS" w:hAnsi="Comic Sans MS"/>
          <w:sz w:val="24"/>
          <w:szCs w:val="24"/>
        </w:rPr>
        <w:t xml:space="preserve">   </w:t>
      </w:r>
      <w:r w:rsidR="009C0472">
        <w:rPr>
          <w:rFonts w:ascii="Comic Sans MS" w:hAnsi="Comic Sans MS"/>
          <w:sz w:val="24"/>
          <w:szCs w:val="24"/>
        </w:rPr>
        <w:t xml:space="preserve">   </w:t>
      </w:r>
      <w:r>
        <w:rPr>
          <w:rFonts w:ascii="Comic Sans MS" w:hAnsi="Comic Sans MS"/>
          <w:sz w:val="24"/>
          <w:szCs w:val="24"/>
        </w:rPr>
        <w:t xml:space="preserve">à savoir la diffusion des foyers </w:t>
      </w:r>
      <w:r w:rsidRPr="004B0C2D">
        <w:rPr>
          <w:rFonts w:ascii="Comic Sans MS" w:hAnsi="Comic Sans MS"/>
          <w:sz w:val="24"/>
          <w:szCs w:val="24"/>
        </w:rPr>
        <w:t xml:space="preserve">améliorés, elle a connu également des grands progrès via une large utilisation des foyers traditionnels de type </w:t>
      </w:r>
      <w:proofErr w:type="spellStart"/>
      <w:r w:rsidRPr="004B0C2D">
        <w:rPr>
          <w:rFonts w:ascii="Comic Sans MS" w:hAnsi="Comic Sans MS"/>
          <w:sz w:val="24"/>
          <w:szCs w:val="24"/>
        </w:rPr>
        <w:t>Maslaha</w:t>
      </w:r>
      <w:proofErr w:type="spellEnd"/>
      <w:r w:rsidRPr="004B0C2D">
        <w:rPr>
          <w:rFonts w:ascii="Comic Sans MS" w:hAnsi="Comic Sans MS"/>
          <w:sz w:val="24"/>
          <w:szCs w:val="24"/>
        </w:rPr>
        <w:t xml:space="preserve"> et </w:t>
      </w:r>
      <w:proofErr w:type="spellStart"/>
      <w:r w:rsidRPr="004B0C2D">
        <w:rPr>
          <w:rFonts w:ascii="Comic Sans MS" w:hAnsi="Comic Sans MS"/>
          <w:sz w:val="24"/>
          <w:szCs w:val="24"/>
        </w:rPr>
        <w:t>Djambar</w:t>
      </w:r>
      <w:proofErr w:type="spellEnd"/>
      <w:r w:rsidRPr="004B0C2D">
        <w:rPr>
          <w:rFonts w:ascii="Comic Sans MS" w:hAnsi="Comic Sans MS"/>
          <w:sz w:val="24"/>
          <w:szCs w:val="24"/>
        </w:rPr>
        <w:t xml:space="preserve"> faciles à fabriquer et peu couteux par rapport aux kits du gaz butane et autres foyers améliorés plus performantes (foyers </w:t>
      </w:r>
      <w:proofErr w:type="spellStart"/>
      <w:r w:rsidRPr="004B0C2D">
        <w:rPr>
          <w:rFonts w:ascii="Comic Sans MS" w:hAnsi="Comic Sans MS"/>
          <w:sz w:val="24"/>
          <w:szCs w:val="24"/>
        </w:rPr>
        <w:t>Vayda</w:t>
      </w:r>
      <w:proofErr w:type="spellEnd"/>
      <w:r w:rsidRPr="004B0C2D">
        <w:rPr>
          <w:rFonts w:ascii="Comic Sans MS" w:hAnsi="Comic Sans MS"/>
          <w:sz w:val="24"/>
          <w:szCs w:val="24"/>
        </w:rPr>
        <w:t xml:space="preserve">, Vita et </w:t>
      </w:r>
      <w:proofErr w:type="spellStart"/>
      <w:r w:rsidRPr="004B0C2D">
        <w:rPr>
          <w:rFonts w:ascii="Comic Sans MS" w:hAnsi="Comic Sans MS"/>
          <w:sz w:val="24"/>
          <w:szCs w:val="24"/>
        </w:rPr>
        <w:t>Farim</w:t>
      </w:r>
      <w:proofErr w:type="spellEnd"/>
      <w:r w:rsidRPr="004B0C2D">
        <w:rPr>
          <w:rFonts w:ascii="Comic Sans MS" w:hAnsi="Comic Sans MS"/>
          <w:sz w:val="24"/>
          <w:szCs w:val="24"/>
        </w:rPr>
        <w:t xml:space="preserve">). Le plus grand problème posé à </w:t>
      </w:r>
      <w:r w:rsidR="00242DBD">
        <w:rPr>
          <w:rFonts w:ascii="Comic Sans MS" w:hAnsi="Comic Sans MS"/>
          <w:sz w:val="24"/>
          <w:szCs w:val="24"/>
        </w:rPr>
        <w:t xml:space="preserve">une large </w:t>
      </w:r>
      <w:r w:rsidRPr="004B0C2D">
        <w:rPr>
          <w:rFonts w:ascii="Comic Sans MS" w:hAnsi="Comic Sans MS"/>
          <w:sz w:val="24"/>
          <w:szCs w:val="24"/>
        </w:rPr>
        <w:t xml:space="preserve">diffusion </w:t>
      </w:r>
      <w:r w:rsidR="00242DBD">
        <w:rPr>
          <w:rFonts w:ascii="Comic Sans MS" w:hAnsi="Comic Sans MS"/>
          <w:sz w:val="24"/>
          <w:szCs w:val="24"/>
        </w:rPr>
        <w:t xml:space="preserve">des nouvelles générations des foyers améliorés plus performantes se résume en deux causes principales : </w:t>
      </w:r>
    </w:p>
    <w:p w14:paraId="190AAD5C" w14:textId="76325EA1" w:rsidR="007F3618" w:rsidRDefault="00242DBD">
      <w:pPr>
        <w:pStyle w:val="Paragraphedeliste"/>
        <w:numPr>
          <w:ilvl w:val="0"/>
          <w:numId w:val="21"/>
        </w:numPr>
        <w:spacing w:before="0"/>
        <w:rPr>
          <w:rFonts w:ascii="Comic Sans MS" w:hAnsi="Comic Sans MS"/>
        </w:rPr>
      </w:pPr>
      <w:r w:rsidRPr="007F3618">
        <w:rPr>
          <w:rFonts w:ascii="Comic Sans MS" w:hAnsi="Comic Sans MS"/>
        </w:rPr>
        <w:t>la maitrise de</w:t>
      </w:r>
      <w:r w:rsidR="00444908">
        <w:rPr>
          <w:rFonts w:ascii="Comic Sans MS" w:hAnsi="Comic Sans MS"/>
        </w:rPr>
        <w:t>s caractéristiques</w:t>
      </w:r>
      <w:r w:rsidRPr="007F3618">
        <w:rPr>
          <w:rFonts w:ascii="Comic Sans MS" w:hAnsi="Comic Sans MS"/>
        </w:rPr>
        <w:t xml:space="preserve"> technique</w:t>
      </w:r>
      <w:r w:rsidR="00444908">
        <w:rPr>
          <w:rFonts w:ascii="Comic Sans MS" w:hAnsi="Comic Sans MS"/>
        </w:rPr>
        <w:t>s</w:t>
      </w:r>
      <w:r w:rsidRPr="007F3618">
        <w:rPr>
          <w:rFonts w:ascii="Comic Sans MS" w:hAnsi="Comic Sans MS"/>
        </w:rPr>
        <w:t xml:space="preserve"> de </w:t>
      </w:r>
      <w:r w:rsidR="00444908">
        <w:rPr>
          <w:rFonts w:ascii="Comic Sans MS" w:hAnsi="Comic Sans MS"/>
        </w:rPr>
        <w:t xml:space="preserve">la </w:t>
      </w:r>
      <w:r w:rsidRPr="007F3618">
        <w:rPr>
          <w:rFonts w:ascii="Comic Sans MS" w:hAnsi="Comic Sans MS"/>
        </w:rPr>
        <w:t>fabrication de</w:t>
      </w:r>
      <w:r w:rsidR="007F3618">
        <w:rPr>
          <w:rFonts w:ascii="Comic Sans MS" w:hAnsi="Comic Sans MS"/>
        </w:rPr>
        <w:t>s</w:t>
      </w:r>
      <w:r w:rsidRPr="007F3618">
        <w:rPr>
          <w:rFonts w:ascii="Comic Sans MS" w:hAnsi="Comic Sans MS"/>
        </w:rPr>
        <w:t xml:space="preserve"> modèles</w:t>
      </w:r>
      <w:r w:rsidR="007F3618">
        <w:rPr>
          <w:rFonts w:ascii="Comic Sans MS" w:hAnsi="Comic Sans MS"/>
        </w:rPr>
        <w:t xml:space="preserve"> de foyers améliorés de type </w:t>
      </w:r>
      <w:r w:rsidR="007F3618" w:rsidRPr="007F3618">
        <w:rPr>
          <w:rFonts w:ascii="Comic Sans MS" w:hAnsi="Comic Sans MS"/>
        </w:rPr>
        <w:t>Vita</w:t>
      </w:r>
      <w:r w:rsidRPr="007F3618">
        <w:rPr>
          <w:rFonts w:ascii="Comic Sans MS" w:hAnsi="Comic Sans MS"/>
        </w:rPr>
        <w:t>/</w:t>
      </w:r>
      <w:proofErr w:type="spellStart"/>
      <w:r w:rsidRPr="007F3618">
        <w:rPr>
          <w:rFonts w:ascii="Comic Sans MS" w:hAnsi="Comic Sans MS"/>
        </w:rPr>
        <w:t>Vayda</w:t>
      </w:r>
      <w:proofErr w:type="spellEnd"/>
      <w:r w:rsidRPr="007F3618">
        <w:rPr>
          <w:rFonts w:ascii="Comic Sans MS" w:hAnsi="Comic Sans MS"/>
        </w:rPr>
        <w:t xml:space="preserve">/FARIM. Les projets qui ont introduit ces modèles les ont centralisés au niveau de quelques ateliers très localisés à Nouakchott et à </w:t>
      </w:r>
      <w:proofErr w:type="spellStart"/>
      <w:r w:rsidRPr="007F3618">
        <w:rPr>
          <w:rFonts w:ascii="Comic Sans MS" w:hAnsi="Comic Sans MS"/>
        </w:rPr>
        <w:t>Selibaby</w:t>
      </w:r>
      <w:proofErr w:type="spellEnd"/>
      <w:r w:rsidRPr="007F3618">
        <w:rPr>
          <w:rFonts w:ascii="Comic Sans MS" w:hAnsi="Comic Sans MS"/>
        </w:rPr>
        <w:t xml:space="preserve">. A cet effet, la plupart des </w:t>
      </w:r>
      <w:r w:rsidR="007F3618" w:rsidRPr="007F3618">
        <w:rPr>
          <w:rFonts w:ascii="Comic Sans MS" w:hAnsi="Comic Sans MS"/>
        </w:rPr>
        <w:t>artisans</w:t>
      </w:r>
      <w:r w:rsidRPr="007F3618">
        <w:rPr>
          <w:rFonts w:ascii="Comic Sans MS" w:hAnsi="Comic Sans MS"/>
        </w:rPr>
        <w:t xml:space="preserve"> spécialisés</w:t>
      </w:r>
      <w:r w:rsidR="007F3618" w:rsidRPr="007F3618">
        <w:rPr>
          <w:rFonts w:ascii="Comic Sans MS" w:hAnsi="Comic Sans MS"/>
        </w:rPr>
        <w:t xml:space="preserve"> </w:t>
      </w:r>
      <w:r w:rsidRPr="007F3618">
        <w:rPr>
          <w:rFonts w:ascii="Comic Sans MS" w:hAnsi="Comic Sans MS"/>
        </w:rPr>
        <w:t xml:space="preserve">des </w:t>
      </w:r>
      <w:r w:rsidR="007F3618" w:rsidRPr="007F3618">
        <w:rPr>
          <w:rFonts w:ascii="Comic Sans MS" w:hAnsi="Comic Sans MS"/>
        </w:rPr>
        <w:t>fourneaux</w:t>
      </w:r>
      <w:r w:rsidRPr="007F3618">
        <w:rPr>
          <w:rFonts w:ascii="Comic Sans MS" w:hAnsi="Comic Sans MS"/>
        </w:rPr>
        <w:t xml:space="preserve"> </w:t>
      </w:r>
      <w:r w:rsidR="007F3618">
        <w:rPr>
          <w:rFonts w:ascii="Comic Sans MS" w:hAnsi="Comic Sans MS"/>
        </w:rPr>
        <w:t xml:space="preserve">au niveau national </w:t>
      </w:r>
      <w:r w:rsidR="007F3618" w:rsidRPr="007F3618">
        <w:rPr>
          <w:rFonts w:ascii="Comic Sans MS" w:hAnsi="Comic Sans MS"/>
        </w:rPr>
        <w:t>ne connait pas la technique de fabrication</w:t>
      </w:r>
      <w:r w:rsidR="00063F17">
        <w:rPr>
          <w:rFonts w:ascii="Comic Sans MS" w:hAnsi="Comic Sans MS"/>
        </w:rPr>
        <w:t xml:space="preserve"> de</w:t>
      </w:r>
      <w:r w:rsidR="007F3618" w:rsidRPr="007F3618">
        <w:rPr>
          <w:rFonts w:ascii="Comic Sans MS" w:hAnsi="Comic Sans MS"/>
        </w:rPr>
        <w:t xml:space="preserve"> ce type des foyers améliorés. </w:t>
      </w:r>
      <w:r w:rsidRPr="007F3618">
        <w:rPr>
          <w:rFonts w:ascii="Comic Sans MS" w:hAnsi="Comic Sans MS"/>
        </w:rPr>
        <w:t xml:space="preserve"> </w:t>
      </w:r>
    </w:p>
    <w:p w14:paraId="391F26D0" w14:textId="794DC1EF" w:rsidR="00E32094" w:rsidRPr="00794144" w:rsidRDefault="007F3618">
      <w:pPr>
        <w:pStyle w:val="Paragraphedeliste"/>
        <w:numPr>
          <w:ilvl w:val="0"/>
          <w:numId w:val="21"/>
        </w:numPr>
        <w:spacing w:before="0"/>
        <w:rPr>
          <w:rFonts w:ascii="Comic Sans MS" w:hAnsi="Comic Sans MS"/>
        </w:rPr>
      </w:pPr>
      <w:r w:rsidRPr="00794144">
        <w:rPr>
          <w:rFonts w:ascii="Comic Sans MS" w:hAnsi="Comic Sans MS"/>
        </w:rPr>
        <w:t xml:space="preserve">Le cout élevé de vente de nouveaux foyers améliorés. Cette situation est </w:t>
      </w:r>
      <w:r w:rsidR="00444908" w:rsidRPr="00794144">
        <w:rPr>
          <w:rFonts w:ascii="Comic Sans MS" w:hAnsi="Comic Sans MS"/>
        </w:rPr>
        <w:t>engendrée</w:t>
      </w:r>
      <w:r w:rsidRPr="00794144">
        <w:rPr>
          <w:rFonts w:ascii="Comic Sans MS" w:hAnsi="Comic Sans MS"/>
        </w:rPr>
        <w:t xml:space="preserve"> par l</w:t>
      </w:r>
      <w:r w:rsidR="00444908" w:rsidRPr="00794144">
        <w:rPr>
          <w:rFonts w:ascii="Comic Sans MS" w:hAnsi="Comic Sans MS"/>
        </w:rPr>
        <w:t>a particularité des</w:t>
      </w:r>
      <w:r w:rsidRPr="00794144">
        <w:rPr>
          <w:rFonts w:ascii="Comic Sans MS" w:hAnsi="Comic Sans MS"/>
        </w:rPr>
        <w:t xml:space="preserve"> caractéristiques</w:t>
      </w:r>
      <w:r w:rsidR="00444908" w:rsidRPr="00794144">
        <w:rPr>
          <w:rFonts w:ascii="Comic Sans MS" w:hAnsi="Comic Sans MS"/>
        </w:rPr>
        <w:t xml:space="preserve"> techniques</w:t>
      </w:r>
      <w:r w:rsidRPr="00794144">
        <w:rPr>
          <w:rFonts w:ascii="Comic Sans MS" w:hAnsi="Comic Sans MS"/>
        </w:rPr>
        <w:t xml:space="preserve"> et </w:t>
      </w:r>
      <w:r w:rsidR="00444908" w:rsidRPr="00794144">
        <w:rPr>
          <w:rFonts w:ascii="Comic Sans MS" w:hAnsi="Comic Sans MS"/>
        </w:rPr>
        <w:t xml:space="preserve">de </w:t>
      </w:r>
      <w:r w:rsidRPr="00794144">
        <w:rPr>
          <w:rFonts w:ascii="Comic Sans MS" w:hAnsi="Comic Sans MS"/>
        </w:rPr>
        <w:t xml:space="preserve">la composition des matériaux utilisés dans la fabrication des foyers améliorés de type Vita et </w:t>
      </w:r>
      <w:proofErr w:type="spellStart"/>
      <w:r w:rsidRPr="00794144">
        <w:rPr>
          <w:rFonts w:ascii="Comic Sans MS" w:hAnsi="Comic Sans MS"/>
        </w:rPr>
        <w:t>Farim</w:t>
      </w:r>
      <w:proofErr w:type="spellEnd"/>
      <w:r w:rsidRPr="00794144">
        <w:rPr>
          <w:rFonts w:ascii="Comic Sans MS" w:hAnsi="Comic Sans MS"/>
        </w:rPr>
        <w:t xml:space="preserve">. </w:t>
      </w:r>
    </w:p>
    <w:p w14:paraId="4AF0072D" w14:textId="77777777" w:rsidR="00794144" w:rsidRDefault="00794144" w:rsidP="00E32094">
      <w:pPr>
        <w:spacing w:before="0"/>
        <w:ind w:left="0" w:firstLine="0"/>
        <w:rPr>
          <w:rFonts w:ascii="Comic Sans MS" w:hAnsi="Comic Sans MS"/>
          <w:sz w:val="24"/>
          <w:szCs w:val="24"/>
        </w:rPr>
      </w:pPr>
    </w:p>
    <w:p w14:paraId="778F2B9F" w14:textId="386A12F4" w:rsidR="00041A42" w:rsidRPr="009F25CF" w:rsidRDefault="00041A42" w:rsidP="004A6712">
      <w:pPr>
        <w:spacing w:before="0"/>
        <w:ind w:left="0" w:firstLine="0"/>
        <w:rPr>
          <w:rFonts w:ascii="Comic Sans MS" w:hAnsi="Comic Sans MS"/>
          <w:sz w:val="24"/>
          <w:szCs w:val="24"/>
        </w:rPr>
      </w:pPr>
      <w:r w:rsidRPr="009F25CF">
        <w:rPr>
          <w:rFonts w:ascii="Comic Sans MS" w:hAnsi="Comic Sans MS"/>
          <w:sz w:val="24"/>
          <w:szCs w:val="24"/>
        </w:rPr>
        <w:t xml:space="preserve">Selon </w:t>
      </w:r>
      <w:r w:rsidR="002D1C1F">
        <w:rPr>
          <w:rFonts w:ascii="Comic Sans MS" w:hAnsi="Comic Sans MS"/>
          <w:sz w:val="24"/>
          <w:szCs w:val="24"/>
        </w:rPr>
        <w:t xml:space="preserve">les </w:t>
      </w:r>
      <w:r w:rsidR="004A6712">
        <w:rPr>
          <w:rFonts w:ascii="Comic Sans MS" w:hAnsi="Comic Sans MS"/>
          <w:sz w:val="24"/>
          <w:szCs w:val="24"/>
        </w:rPr>
        <w:t xml:space="preserve">mesures </w:t>
      </w:r>
      <w:r w:rsidR="002D1C1F">
        <w:rPr>
          <w:rFonts w:ascii="Comic Sans MS" w:hAnsi="Comic Sans MS"/>
          <w:sz w:val="24"/>
          <w:szCs w:val="24"/>
        </w:rPr>
        <w:t>dans la 2</w:t>
      </w:r>
      <w:r w:rsidRPr="009F25CF">
        <w:rPr>
          <w:rFonts w:ascii="Comic Sans MS" w:hAnsi="Comic Sans MS"/>
          <w:sz w:val="24"/>
          <w:szCs w:val="24"/>
        </w:rPr>
        <w:t>CDN de 20</w:t>
      </w:r>
      <w:r w:rsidR="002D1C1F">
        <w:rPr>
          <w:rFonts w:ascii="Comic Sans MS" w:hAnsi="Comic Sans MS"/>
          <w:sz w:val="24"/>
          <w:szCs w:val="24"/>
        </w:rPr>
        <w:t>21</w:t>
      </w:r>
      <w:r w:rsidRPr="009F25CF">
        <w:rPr>
          <w:rFonts w:ascii="Comic Sans MS" w:hAnsi="Comic Sans MS"/>
          <w:sz w:val="24"/>
          <w:szCs w:val="24"/>
        </w:rPr>
        <w:t>, il a été prévu l</w:t>
      </w:r>
      <w:r w:rsidR="002D1C1F">
        <w:rPr>
          <w:rFonts w:ascii="Comic Sans MS" w:hAnsi="Comic Sans MS"/>
          <w:sz w:val="24"/>
          <w:szCs w:val="24"/>
        </w:rPr>
        <w:t>a diffusion des 170.000 foyers améliorés et 150.000 kits de gaz butan</w:t>
      </w:r>
      <w:r w:rsidRPr="009F25CF">
        <w:rPr>
          <w:rFonts w:ascii="Comic Sans MS" w:hAnsi="Comic Sans MS"/>
          <w:sz w:val="24"/>
          <w:szCs w:val="24"/>
        </w:rPr>
        <w:t xml:space="preserve">e </w:t>
      </w:r>
      <w:r w:rsidR="00C33BC4">
        <w:rPr>
          <w:rFonts w:ascii="Comic Sans MS" w:hAnsi="Comic Sans MS"/>
          <w:sz w:val="24"/>
          <w:szCs w:val="24"/>
        </w:rPr>
        <w:t>à l’horizon 20</w:t>
      </w:r>
      <w:r w:rsidR="009A75F2">
        <w:rPr>
          <w:rFonts w:ascii="Comic Sans MS" w:hAnsi="Comic Sans MS"/>
          <w:sz w:val="24"/>
          <w:szCs w:val="24"/>
        </w:rPr>
        <w:t>3</w:t>
      </w:r>
      <w:r w:rsidR="00C33BC4">
        <w:rPr>
          <w:rFonts w:ascii="Comic Sans MS" w:hAnsi="Comic Sans MS"/>
          <w:sz w:val="24"/>
          <w:szCs w:val="24"/>
        </w:rPr>
        <w:t xml:space="preserve">0. Selon </w:t>
      </w:r>
      <w:r w:rsidR="00D02010">
        <w:rPr>
          <w:rFonts w:ascii="Comic Sans MS" w:hAnsi="Comic Sans MS"/>
          <w:sz w:val="24"/>
          <w:szCs w:val="24"/>
        </w:rPr>
        <w:t>l’e</w:t>
      </w:r>
      <w:r w:rsidR="00D02010" w:rsidRPr="00D02010">
        <w:rPr>
          <w:rFonts w:ascii="Comic Sans MS" w:hAnsi="Comic Sans MS"/>
          <w:sz w:val="24"/>
          <w:szCs w:val="24"/>
        </w:rPr>
        <w:t xml:space="preserve">nquête </w:t>
      </w:r>
      <w:r w:rsidR="00D02010">
        <w:rPr>
          <w:rFonts w:ascii="Comic Sans MS" w:hAnsi="Comic Sans MS"/>
          <w:sz w:val="24"/>
          <w:szCs w:val="24"/>
        </w:rPr>
        <w:t>d</w:t>
      </w:r>
      <w:r w:rsidR="00D02010" w:rsidRPr="00D02010">
        <w:rPr>
          <w:rFonts w:ascii="Comic Sans MS" w:hAnsi="Comic Sans MS"/>
          <w:sz w:val="24"/>
          <w:szCs w:val="24"/>
        </w:rPr>
        <w:t xml:space="preserve">émographique et de </w:t>
      </w:r>
      <w:r w:rsidR="00D02010">
        <w:rPr>
          <w:rFonts w:ascii="Comic Sans MS" w:hAnsi="Comic Sans MS"/>
          <w:sz w:val="24"/>
          <w:szCs w:val="24"/>
        </w:rPr>
        <w:t>s</w:t>
      </w:r>
      <w:r w:rsidR="00D02010" w:rsidRPr="00D02010">
        <w:rPr>
          <w:rFonts w:ascii="Comic Sans MS" w:hAnsi="Comic Sans MS"/>
          <w:sz w:val="24"/>
          <w:szCs w:val="24"/>
        </w:rPr>
        <w:t xml:space="preserve">anté </w:t>
      </w:r>
      <w:r w:rsidR="00D02010">
        <w:rPr>
          <w:rFonts w:ascii="Comic Sans MS" w:hAnsi="Comic Sans MS"/>
          <w:sz w:val="24"/>
          <w:szCs w:val="24"/>
        </w:rPr>
        <w:t>de 2022, il existe en Mauritanie environ 684.000 ménages</w:t>
      </w:r>
      <w:r w:rsidR="001D5BCA">
        <w:rPr>
          <w:rFonts w:ascii="Comic Sans MS" w:hAnsi="Comic Sans MS"/>
          <w:sz w:val="24"/>
          <w:szCs w:val="24"/>
        </w:rPr>
        <w:t xml:space="preserve"> dont 5</w:t>
      </w:r>
      <w:r w:rsidR="004A6712">
        <w:rPr>
          <w:rFonts w:ascii="Comic Sans MS" w:hAnsi="Comic Sans MS"/>
          <w:sz w:val="24"/>
          <w:szCs w:val="24"/>
        </w:rPr>
        <w:t xml:space="preserve">0% </w:t>
      </w:r>
      <w:r w:rsidR="001D5BCA">
        <w:rPr>
          <w:rFonts w:ascii="Comic Sans MS" w:hAnsi="Comic Sans MS"/>
          <w:sz w:val="24"/>
          <w:szCs w:val="24"/>
        </w:rPr>
        <w:t xml:space="preserve">d’entre elles </w:t>
      </w:r>
      <w:r w:rsidR="004A6712">
        <w:rPr>
          <w:rFonts w:ascii="Comic Sans MS" w:hAnsi="Comic Sans MS"/>
          <w:sz w:val="24"/>
          <w:szCs w:val="24"/>
        </w:rPr>
        <w:t xml:space="preserve">utilisent le gaz butane comme énergie de cuisson soit environ 342.000 kits de gaz butane à leur possession. De même, environ 15,2% des ménages au niveau national utilisent le charbon de bois comme énergie de cuisson soit l’utilisation d’environ 100.000 fourreaux traditionnels ou foyers améliorés.  </w:t>
      </w:r>
      <w:r w:rsidR="00E2240E">
        <w:rPr>
          <w:rFonts w:ascii="Comic Sans MS" w:hAnsi="Comic Sans MS"/>
          <w:sz w:val="24"/>
          <w:szCs w:val="24"/>
        </w:rPr>
        <w:t xml:space="preserve">L’analyse de ces données démontre que l’objectif de l’utilisation des </w:t>
      </w:r>
      <w:r w:rsidR="00E2240E">
        <w:rPr>
          <w:rFonts w:ascii="Comic Sans MS" w:hAnsi="Comic Sans MS"/>
          <w:sz w:val="24"/>
          <w:szCs w:val="24"/>
        </w:rPr>
        <w:lastRenderedPageBreak/>
        <w:t xml:space="preserve">kits de gaz butane a été largement atteint mais </w:t>
      </w:r>
      <w:r w:rsidR="001E62E2">
        <w:rPr>
          <w:rFonts w:ascii="Comic Sans MS" w:hAnsi="Comic Sans MS"/>
          <w:sz w:val="24"/>
          <w:szCs w:val="24"/>
        </w:rPr>
        <w:t xml:space="preserve">pas </w:t>
      </w:r>
      <w:r w:rsidR="000E4017">
        <w:rPr>
          <w:rFonts w:ascii="Comic Sans MS" w:hAnsi="Comic Sans MS"/>
          <w:sz w:val="24"/>
          <w:szCs w:val="24"/>
        </w:rPr>
        <w:t>obligatoirement</w:t>
      </w:r>
      <w:r w:rsidR="00E2240E">
        <w:rPr>
          <w:rFonts w:ascii="Comic Sans MS" w:hAnsi="Comic Sans MS"/>
          <w:sz w:val="24"/>
          <w:szCs w:val="24"/>
        </w:rPr>
        <w:t xml:space="preserve"> </w:t>
      </w:r>
      <w:r w:rsidR="000E4017">
        <w:rPr>
          <w:rFonts w:ascii="Comic Sans MS" w:hAnsi="Comic Sans MS"/>
          <w:sz w:val="24"/>
          <w:szCs w:val="24"/>
        </w:rPr>
        <w:t xml:space="preserve">diffusés par les projets/programmes de l’Etat. Concernant, les foyers améliorés </w:t>
      </w:r>
      <w:r w:rsidR="006F536F">
        <w:rPr>
          <w:rFonts w:ascii="Comic Sans MS" w:hAnsi="Comic Sans MS"/>
          <w:sz w:val="24"/>
          <w:szCs w:val="24"/>
        </w:rPr>
        <w:t xml:space="preserve">aucune statistique fiable n’est disponible sur le pourcentage qu’ils occupent parmi les fourneaux utilisés </w:t>
      </w:r>
      <w:r w:rsidR="000B3E0A">
        <w:rPr>
          <w:rFonts w:ascii="Comic Sans MS" w:hAnsi="Comic Sans MS"/>
          <w:sz w:val="24"/>
          <w:szCs w:val="24"/>
        </w:rPr>
        <w:t xml:space="preserve">actuellement </w:t>
      </w:r>
      <w:r w:rsidR="006F536F">
        <w:rPr>
          <w:rFonts w:ascii="Comic Sans MS" w:hAnsi="Comic Sans MS"/>
          <w:sz w:val="24"/>
          <w:szCs w:val="24"/>
        </w:rPr>
        <w:t xml:space="preserve">au niveau national.  </w:t>
      </w:r>
      <w:r w:rsidR="000B3E0A">
        <w:rPr>
          <w:rFonts w:ascii="Comic Sans MS" w:hAnsi="Comic Sans MS"/>
          <w:sz w:val="24"/>
          <w:szCs w:val="24"/>
        </w:rPr>
        <w:t xml:space="preserve">Selon les </w:t>
      </w:r>
      <w:r w:rsidR="001E62E2">
        <w:rPr>
          <w:rFonts w:ascii="Comic Sans MS" w:hAnsi="Comic Sans MS"/>
          <w:sz w:val="24"/>
          <w:szCs w:val="24"/>
        </w:rPr>
        <w:t>information</w:t>
      </w:r>
      <w:r w:rsidR="000B3E0A">
        <w:rPr>
          <w:rFonts w:ascii="Comic Sans MS" w:hAnsi="Comic Sans MS"/>
          <w:sz w:val="24"/>
          <w:szCs w:val="24"/>
        </w:rPr>
        <w:t xml:space="preserve">s disponibles moins de 30.000 foyers améliorés ont été produits, depuis 2010, par les projets GRET pour les foyers </w:t>
      </w:r>
      <w:proofErr w:type="spellStart"/>
      <w:r w:rsidR="000B3E0A">
        <w:rPr>
          <w:rFonts w:ascii="Comic Sans MS" w:hAnsi="Comic Sans MS"/>
          <w:sz w:val="24"/>
          <w:szCs w:val="24"/>
        </w:rPr>
        <w:t>Vayda</w:t>
      </w:r>
      <w:proofErr w:type="spellEnd"/>
      <w:r w:rsidR="000B3E0A">
        <w:rPr>
          <w:rFonts w:ascii="Comic Sans MS" w:hAnsi="Comic Sans MS"/>
          <w:sz w:val="24"/>
          <w:szCs w:val="24"/>
        </w:rPr>
        <w:t xml:space="preserve"> et FARIM 1 et 2 (environ 30.000 unités) et projet GIZ pour le foyer Vita (5000 unités). Certains artisans</w:t>
      </w:r>
      <w:r w:rsidR="00866738">
        <w:rPr>
          <w:rFonts w:ascii="Comic Sans MS" w:hAnsi="Comic Sans MS"/>
          <w:sz w:val="24"/>
          <w:szCs w:val="24"/>
        </w:rPr>
        <w:t xml:space="preserve"> à Nouakchott</w:t>
      </w:r>
      <w:r w:rsidR="000B3E0A">
        <w:rPr>
          <w:rFonts w:ascii="Comic Sans MS" w:hAnsi="Comic Sans MS"/>
          <w:sz w:val="24"/>
          <w:szCs w:val="24"/>
        </w:rPr>
        <w:t xml:space="preserve"> </w:t>
      </w:r>
      <w:r w:rsidR="00866738">
        <w:rPr>
          <w:rFonts w:ascii="Comic Sans MS" w:hAnsi="Comic Sans MS"/>
          <w:sz w:val="24"/>
          <w:szCs w:val="24"/>
        </w:rPr>
        <w:t xml:space="preserve">ont pu produire et commercialiser des milliers de modèles similaires surtout aux foyers améliorés </w:t>
      </w:r>
      <w:proofErr w:type="spellStart"/>
      <w:r w:rsidR="00866738">
        <w:rPr>
          <w:rFonts w:ascii="Comic Sans MS" w:hAnsi="Comic Sans MS"/>
          <w:sz w:val="24"/>
          <w:szCs w:val="24"/>
        </w:rPr>
        <w:t>Vayda</w:t>
      </w:r>
      <w:proofErr w:type="spellEnd"/>
      <w:r w:rsidR="00866738">
        <w:rPr>
          <w:rFonts w:ascii="Comic Sans MS" w:hAnsi="Comic Sans MS"/>
          <w:sz w:val="24"/>
          <w:szCs w:val="24"/>
        </w:rPr>
        <w:t xml:space="preserve"> et FARIM. Pour le moment, l’utilisation des foyers améliorés cités ci-dessus est </w:t>
      </w:r>
      <w:r w:rsidR="001E62E2">
        <w:rPr>
          <w:rFonts w:ascii="Comic Sans MS" w:hAnsi="Comic Sans MS"/>
          <w:sz w:val="24"/>
          <w:szCs w:val="24"/>
        </w:rPr>
        <w:t xml:space="preserve">principalement </w:t>
      </w:r>
      <w:r w:rsidR="00866738">
        <w:rPr>
          <w:rFonts w:ascii="Comic Sans MS" w:hAnsi="Comic Sans MS"/>
          <w:sz w:val="24"/>
          <w:szCs w:val="24"/>
        </w:rPr>
        <w:t xml:space="preserve">limité à Nouakchott, Rosso et </w:t>
      </w:r>
      <w:proofErr w:type="spellStart"/>
      <w:r w:rsidR="00866738">
        <w:rPr>
          <w:rFonts w:ascii="Comic Sans MS" w:hAnsi="Comic Sans MS"/>
          <w:sz w:val="24"/>
          <w:szCs w:val="24"/>
        </w:rPr>
        <w:t>Selibabi</w:t>
      </w:r>
      <w:proofErr w:type="spellEnd"/>
      <w:r w:rsidR="00866738">
        <w:rPr>
          <w:rFonts w:ascii="Comic Sans MS" w:hAnsi="Comic Sans MS"/>
          <w:sz w:val="24"/>
          <w:szCs w:val="24"/>
        </w:rPr>
        <w:t xml:space="preserve">. </w:t>
      </w:r>
    </w:p>
    <w:p w14:paraId="4A896254" w14:textId="77777777" w:rsidR="00041A42" w:rsidRPr="009F25CF" w:rsidRDefault="00041A42" w:rsidP="00041A42">
      <w:pPr>
        <w:spacing w:before="0"/>
        <w:ind w:left="0" w:firstLine="0"/>
        <w:rPr>
          <w:rFonts w:ascii="Comic Sans MS" w:hAnsi="Comic Sans MS"/>
          <w:sz w:val="24"/>
          <w:szCs w:val="24"/>
        </w:rPr>
      </w:pPr>
    </w:p>
    <w:p w14:paraId="48152C1D" w14:textId="5BC27472" w:rsidR="00FF28B7" w:rsidRPr="009F25CF" w:rsidRDefault="00FF28B7" w:rsidP="00FF28B7">
      <w:pPr>
        <w:spacing w:before="0"/>
        <w:ind w:left="0" w:firstLine="0"/>
        <w:rPr>
          <w:rFonts w:ascii="Comic Sans MS" w:hAnsi="Comic Sans MS"/>
          <w:sz w:val="24"/>
          <w:szCs w:val="24"/>
        </w:rPr>
      </w:pPr>
      <w:r w:rsidRPr="009F25CF">
        <w:rPr>
          <w:rFonts w:ascii="Comic Sans MS" w:hAnsi="Comic Sans MS"/>
          <w:sz w:val="24"/>
          <w:szCs w:val="24"/>
        </w:rPr>
        <w:t>On recommande pour surmonter cet obstacle</w:t>
      </w:r>
      <w:r w:rsidR="00A004FF">
        <w:rPr>
          <w:rFonts w:ascii="Comic Sans MS" w:hAnsi="Comic Sans MS"/>
          <w:sz w:val="24"/>
          <w:szCs w:val="24"/>
        </w:rPr>
        <w:t xml:space="preserve"> que l’état mette en place un programme national de foyers améliorés. Le programme en question doit se charger de la formation des artisans au niveau national, d’assurer le contrôle de la qualités des foyers améliorés et appuyer la commercialisation à travers des subventions des famille</w:t>
      </w:r>
      <w:r w:rsidR="001E62E2">
        <w:rPr>
          <w:rFonts w:ascii="Comic Sans MS" w:hAnsi="Comic Sans MS"/>
          <w:sz w:val="24"/>
          <w:szCs w:val="24"/>
        </w:rPr>
        <w:t>s</w:t>
      </w:r>
      <w:r w:rsidR="00A004FF">
        <w:rPr>
          <w:rFonts w:ascii="Comic Sans MS" w:hAnsi="Comic Sans MS"/>
          <w:sz w:val="24"/>
          <w:szCs w:val="24"/>
        </w:rPr>
        <w:t xml:space="preserve"> pauvre</w:t>
      </w:r>
      <w:r w:rsidR="001E62E2">
        <w:rPr>
          <w:rFonts w:ascii="Comic Sans MS" w:hAnsi="Comic Sans MS"/>
          <w:sz w:val="24"/>
          <w:szCs w:val="24"/>
        </w:rPr>
        <w:t>s</w:t>
      </w:r>
      <w:r w:rsidR="00A004FF">
        <w:rPr>
          <w:rFonts w:ascii="Comic Sans MS" w:hAnsi="Comic Sans MS"/>
          <w:sz w:val="24"/>
          <w:szCs w:val="24"/>
        </w:rPr>
        <w:t xml:space="preserve"> via des partenariat avec </w:t>
      </w:r>
      <w:proofErr w:type="spellStart"/>
      <w:r w:rsidR="00A004FF">
        <w:rPr>
          <w:rFonts w:ascii="Comic Sans MS" w:hAnsi="Comic Sans MS"/>
          <w:sz w:val="24"/>
          <w:szCs w:val="24"/>
        </w:rPr>
        <w:t>Taazour</w:t>
      </w:r>
      <w:proofErr w:type="spellEnd"/>
      <w:r w:rsidR="00A004FF">
        <w:rPr>
          <w:rFonts w:ascii="Comic Sans MS" w:hAnsi="Comic Sans MS"/>
          <w:sz w:val="24"/>
          <w:szCs w:val="24"/>
        </w:rPr>
        <w:t xml:space="preserve"> par exemple où autres fonds. </w:t>
      </w:r>
      <w:r w:rsidRPr="009F25CF">
        <w:rPr>
          <w:rFonts w:ascii="Comic Sans MS" w:hAnsi="Comic Sans MS"/>
          <w:sz w:val="24"/>
          <w:szCs w:val="24"/>
        </w:rPr>
        <w:t xml:space="preserve">    </w:t>
      </w:r>
    </w:p>
    <w:p w14:paraId="6E958EA5" w14:textId="77777777" w:rsidR="00FF28B7" w:rsidRPr="009F25CF" w:rsidRDefault="00FF28B7" w:rsidP="00FF28B7">
      <w:pPr>
        <w:spacing w:before="0"/>
        <w:ind w:left="0" w:firstLine="0"/>
        <w:rPr>
          <w:rFonts w:ascii="Comic Sans MS" w:hAnsi="Comic Sans MS"/>
          <w:sz w:val="24"/>
          <w:szCs w:val="24"/>
        </w:rPr>
      </w:pPr>
    </w:p>
    <w:p w14:paraId="3B9D9D63" w14:textId="77777777" w:rsidR="006A01FA" w:rsidRPr="009F25CF" w:rsidRDefault="006A01FA" w:rsidP="00FF28B7">
      <w:pPr>
        <w:spacing w:before="0"/>
        <w:ind w:left="0" w:firstLine="0"/>
        <w:rPr>
          <w:rFonts w:ascii="Comic Sans MS" w:hAnsi="Comic Sans MS"/>
          <w:sz w:val="24"/>
          <w:szCs w:val="24"/>
        </w:rPr>
      </w:pPr>
    </w:p>
    <w:p w14:paraId="61B35CC0" w14:textId="18D3250C" w:rsidR="00FE6905" w:rsidRPr="009F25CF" w:rsidRDefault="0069343C">
      <w:pPr>
        <w:pStyle w:val="Titre1"/>
        <w:numPr>
          <w:ilvl w:val="0"/>
          <w:numId w:val="4"/>
        </w:numPr>
        <w:bidi w:val="0"/>
        <w:spacing w:before="0"/>
        <w:ind w:left="709" w:hanging="709"/>
        <w:jc w:val="left"/>
        <w:rPr>
          <w:rFonts w:ascii="Comic Sans MS" w:hAnsi="Comic Sans MS" w:cstheme="minorHAnsi"/>
          <w:sz w:val="24"/>
          <w:szCs w:val="24"/>
          <w:lang w:val="fr-FR"/>
        </w:rPr>
      </w:pPr>
      <w:bookmarkStart w:id="25" w:name="_Toc166937619"/>
      <w:r w:rsidRPr="009F25CF">
        <w:rPr>
          <w:rFonts w:ascii="Comic Sans MS" w:hAnsi="Comic Sans MS" w:cstheme="minorHAnsi"/>
          <w:sz w:val="24"/>
          <w:szCs w:val="24"/>
          <w:lang w:val="fr-FR"/>
        </w:rPr>
        <w:t xml:space="preserve">PROGRAMMES ET MESURES VISANT A ATTENUER LES EMISSIONS DE GES DU SOUS-SECTEUR </w:t>
      </w:r>
      <w:r>
        <w:rPr>
          <w:rFonts w:ascii="Comic Sans MS" w:hAnsi="Comic Sans MS" w:cstheme="minorHAnsi"/>
          <w:sz w:val="24"/>
          <w:szCs w:val="24"/>
          <w:lang w:val="fr-FR"/>
        </w:rPr>
        <w:t>ENERGIES RESIDENTIELLES</w:t>
      </w:r>
      <w:bookmarkEnd w:id="25"/>
    </w:p>
    <w:p w14:paraId="6285B413" w14:textId="3F47ED80" w:rsidR="00D705D9" w:rsidRDefault="00D705D9" w:rsidP="005F16EF">
      <w:pPr>
        <w:pStyle w:val="TM1"/>
      </w:pPr>
      <w:r>
        <w:t xml:space="preserve">Les mesures d’atténuations </w:t>
      </w:r>
      <w:r w:rsidR="00B3509B">
        <w:t xml:space="preserve">du sous-secteur énergies résidentielles, du </w:t>
      </w:r>
      <w:r>
        <w:t>présent rapport</w:t>
      </w:r>
      <w:r w:rsidR="00B3509B">
        <w:t>,</w:t>
      </w:r>
      <w:r>
        <w:t xml:space="preserve"> sont ceux de la 2</w:t>
      </w:r>
      <w:r w:rsidRPr="00D705D9">
        <w:rPr>
          <w:vertAlign w:val="superscript"/>
        </w:rPr>
        <w:t>ième</w:t>
      </w:r>
      <w:r>
        <w:t xml:space="preserve"> contribution déterminée nationale (CDN 2021) avec une légère actuellisation des ambitions. </w:t>
      </w:r>
    </w:p>
    <w:p w14:paraId="20FF0A82" w14:textId="77777777" w:rsidR="00D705D9" w:rsidRDefault="00D705D9" w:rsidP="005F16EF">
      <w:pPr>
        <w:pStyle w:val="TM1"/>
      </w:pPr>
    </w:p>
    <w:p w14:paraId="4C959B3E" w14:textId="265A95C7" w:rsidR="00DB6978" w:rsidRPr="009F25CF" w:rsidRDefault="00DB6978" w:rsidP="005F16EF">
      <w:pPr>
        <w:pStyle w:val="TM1"/>
        <w:rPr>
          <w:b/>
        </w:rPr>
      </w:pPr>
      <w:r w:rsidRPr="009F25CF">
        <w:t xml:space="preserve">Pour </w:t>
      </w:r>
      <w:r w:rsidR="000D741F">
        <w:t xml:space="preserve">calculer </w:t>
      </w:r>
      <w:r w:rsidR="00D705D9">
        <w:t xml:space="preserve">le bilan des émissions de la mise en œuvre desdites mesures d’atténuation </w:t>
      </w:r>
      <w:r w:rsidR="00574FE9" w:rsidRPr="009F25CF">
        <w:t>de la NC</w:t>
      </w:r>
      <w:r w:rsidR="00FA7E9F" w:rsidRPr="009F25CF">
        <w:t xml:space="preserve">5, nous avons utilisé </w:t>
      </w:r>
      <w:r w:rsidR="00D705D9" w:rsidRPr="009F25CF">
        <w:t>la version du 01 January 2022</w:t>
      </w:r>
      <w:r w:rsidR="00D705D9">
        <w:t xml:space="preserve"> du</w:t>
      </w:r>
      <w:r w:rsidR="00321A15" w:rsidRPr="009F25CF">
        <w:t xml:space="preserve"> </w:t>
      </w:r>
      <w:r w:rsidR="00FA7E9F" w:rsidRPr="009F25CF">
        <w:t>mo</w:t>
      </w:r>
      <w:r w:rsidRPr="009F25CF">
        <w:t>del GACMO</w:t>
      </w:r>
      <w:r w:rsidR="00FA7E9F" w:rsidRPr="009F25CF">
        <w:rPr>
          <w:i/>
          <w:iCs/>
          <w:lang w:val="fr-FR"/>
        </w:rPr>
        <w:t xml:space="preserve"> (The Greenhouse Gas Abatement Cost Model</w:t>
      </w:r>
      <w:r w:rsidR="00FA7E9F" w:rsidRPr="009F25CF">
        <w:t>)</w:t>
      </w:r>
      <w:r w:rsidR="00D705D9">
        <w:t xml:space="preserve"> qui est </w:t>
      </w:r>
      <w:r w:rsidRPr="009F25CF">
        <w:t xml:space="preserve">développé </w:t>
      </w:r>
      <w:r w:rsidR="00321A15" w:rsidRPr="009F25CF">
        <w:t xml:space="preserve">en partenariat avec le </w:t>
      </w:r>
      <w:r w:rsidRPr="009F25CF">
        <w:t>PNUE</w:t>
      </w:r>
      <w:r w:rsidR="00321A15" w:rsidRPr="009F25CF">
        <w:t xml:space="preserve">. </w:t>
      </w:r>
    </w:p>
    <w:p w14:paraId="1D2EB814" w14:textId="77777777" w:rsidR="00DB6978" w:rsidRPr="009F25CF" w:rsidRDefault="00DB6978" w:rsidP="005F16EF">
      <w:pPr>
        <w:pStyle w:val="TM1"/>
      </w:pPr>
      <w:r w:rsidRPr="009F25CF">
        <w:t> </w:t>
      </w:r>
    </w:p>
    <w:p w14:paraId="3BA689FB" w14:textId="654C07EB" w:rsidR="00605CA7" w:rsidRPr="009F25CF" w:rsidRDefault="00DB6978" w:rsidP="005F16EF">
      <w:pPr>
        <w:pStyle w:val="TM1"/>
        <w:rPr>
          <w:b/>
        </w:rPr>
      </w:pPr>
      <w:r w:rsidRPr="009F25CF">
        <w:t>Le</w:t>
      </w:r>
      <w:r w:rsidR="00B55E49" w:rsidRPr="009F25CF">
        <w:t xml:space="preserve"> modèle GACMO</w:t>
      </w:r>
      <w:r w:rsidR="00D705D9">
        <w:t xml:space="preserve"> a fourni </w:t>
      </w:r>
      <w:r w:rsidR="00B55E49" w:rsidRPr="009F25CF">
        <w:t xml:space="preserve">des </w:t>
      </w:r>
      <w:r w:rsidR="00D705D9">
        <w:t>bilans</w:t>
      </w:r>
      <w:r w:rsidR="000D741F">
        <w:t xml:space="preserve"> </w:t>
      </w:r>
      <w:r w:rsidR="00B55E49" w:rsidRPr="009F25CF">
        <w:t>sous for</w:t>
      </w:r>
      <w:r w:rsidR="00605CA7" w:rsidRPr="009F25CF">
        <w:t>m</w:t>
      </w:r>
      <w:r w:rsidR="00B55E49" w:rsidRPr="009F25CF">
        <w:t xml:space="preserve">e des </w:t>
      </w:r>
      <w:r w:rsidR="00D705D9">
        <w:t xml:space="preserve">courbes et des </w:t>
      </w:r>
      <w:r w:rsidRPr="009F25CF">
        <w:t>tableau</w:t>
      </w:r>
      <w:r w:rsidR="00B55E49" w:rsidRPr="009F25CF">
        <w:t>x</w:t>
      </w:r>
      <w:r w:rsidRPr="009F25CF">
        <w:t xml:space="preserve"> fournissant un aperçu du coût et de l'impact des différentes </w:t>
      </w:r>
      <w:r w:rsidR="00B55E49" w:rsidRPr="009F25CF">
        <w:t>mesur</w:t>
      </w:r>
      <w:r w:rsidRPr="009F25CF">
        <w:t>es d'atténuation</w:t>
      </w:r>
      <w:r w:rsidR="00605CA7" w:rsidRPr="009F25CF">
        <w:t xml:space="preserve">. </w:t>
      </w:r>
      <w:r w:rsidR="00D705D9">
        <w:t xml:space="preserve">Il </w:t>
      </w:r>
      <w:r w:rsidR="000D741F">
        <w:t xml:space="preserve">a </w:t>
      </w:r>
      <w:r w:rsidR="00D705D9">
        <w:t>perm</w:t>
      </w:r>
      <w:r w:rsidR="000D741F">
        <w:t xml:space="preserve">i </w:t>
      </w:r>
      <w:r w:rsidR="00EC5BCC">
        <w:t xml:space="preserve">également </w:t>
      </w:r>
      <w:r w:rsidR="00D705D9">
        <w:t xml:space="preserve">le </w:t>
      </w:r>
      <w:r w:rsidR="00B55E49" w:rsidRPr="009F25CF">
        <w:t xml:space="preserve">calcul </w:t>
      </w:r>
      <w:r w:rsidRPr="009F25CF">
        <w:t xml:space="preserve">de scénario </w:t>
      </w:r>
      <w:r w:rsidR="00D705D9">
        <w:t xml:space="preserve">de réfernce </w:t>
      </w:r>
      <w:r w:rsidR="000D741F">
        <w:t>« </w:t>
      </w:r>
      <w:r w:rsidR="00D705D9">
        <w:t xml:space="preserve">sans mesures </w:t>
      </w:r>
      <w:r w:rsidR="000D741F">
        <w:t>où</w:t>
      </w:r>
      <w:r w:rsidR="00D705D9">
        <w:t> </w:t>
      </w:r>
      <w:r w:rsidRPr="009F25CF">
        <w:t>Busines As Usual (BAU)</w:t>
      </w:r>
      <w:r w:rsidR="00D705D9">
        <w:t> »</w:t>
      </w:r>
      <w:r w:rsidR="00DE6E77">
        <w:t xml:space="preserve"> qui est une chose très importante pour </w:t>
      </w:r>
      <w:r w:rsidR="00605CA7" w:rsidRPr="009F25CF">
        <w:t xml:space="preserve">notre </w:t>
      </w:r>
      <w:r w:rsidRPr="009F25CF">
        <w:t xml:space="preserve">pays </w:t>
      </w:r>
      <w:r w:rsidR="00605CA7" w:rsidRPr="009F25CF">
        <w:t>fai</w:t>
      </w:r>
      <w:r w:rsidR="00DE6E77">
        <w:t>san</w:t>
      </w:r>
      <w:r w:rsidR="00605CA7" w:rsidRPr="009F25CF">
        <w:t xml:space="preserve">t partie de ceux </w:t>
      </w:r>
      <w:r w:rsidR="00EC5BCC">
        <w:t xml:space="preserve">qui sont </w:t>
      </w:r>
      <w:r w:rsidR="00605CA7" w:rsidRPr="009F25CF">
        <w:t>oblig</w:t>
      </w:r>
      <w:r w:rsidR="00EC5BCC">
        <w:t>é</w:t>
      </w:r>
      <w:r w:rsidR="004B73D9">
        <w:t>s</w:t>
      </w:r>
      <w:r w:rsidR="00605CA7" w:rsidRPr="009F25CF">
        <w:t xml:space="preserve"> d’utiliser des facteurs par défaut. </w:t>
      </w:r>
    </w:p>
    <w:p w14:paraId="2F892F93" w14:textId="61921117" w:rsidR="00DB6978" w:rsidRPr="00C73ACC" w:rsidRDefault="00DB6978" w:rsidP="005F16EF">
      <w:pPr>
        <w:pStyle w:val="TM1"/>
      </w:pPr>
      <w:r w:rsidRPr="00C73ACC">
        <w:t> </w:t>
      </w:r>
    </w:p>
    <w:p w14:paraId="484BD25F" w14:textId="39575E17" w:rsidR="00DB6978" w:rsidRPr="00C73ACC" w:rsidRDefault="00605CA7" w:rsidP="005F16EF">
      <w:pPr>
        <w:pStyle w:val="TM1"/>
        <w:rPr>
          <w:noProof w:val="0"/>
          <w:lang w:val="fr-FR"/>
        </w:rPr>
      </w:pPr>
      <w:r w:rsidRPr="00C73ACC">
        <w:t xml:space="preserve">Pour </w:t>
      </w:r>
      <w:r w:rsidR="008C2CDD" w:rsidRPr="00C73ACC">
        <w:t>évalue</w:t>
      </w:r>
      <w:r w:rsidRPr="00C73ACC">
        <w:t xml:space="preserve">r la porté des mesures d’atténutions par rapport à la situation </w:t>
      </w:r>
      <w:r w:rsidR="00C73ACC">
        <w:t xml:space="preserve">de référence </w:t>
      </w:r>
      <w:r w:rsidR="000D741F">
        <w:t>« </w:t>
      </w:r>
      <w:r w:rsidRPr="00C73ACC">
        <w:t>sans mesures</w:t>
      </w:r>
      <w:r w:rsidR="000D741F">
        <w:t> »</w:t>
      </w:r>
      <w:r w:rsidRPr="00C73ACC">
        <w:t xml:space="preserve">, nous avons </w:t>
      </w:r>
      <w:r w:rsidR="000D741F">
        <w:t>in</w:t>
      </w:r>
      <w:r w:rsidR="00DE74DC">
        <w:t>s</w:t>
      </w:r>
      <w:r w:rsidR="000D741F">
        <w:t xml:space="preserve">éré </w:t>
      </w:r>
      <w:r w:rsidR="005C6A5A" w:rsidRPr="00C73ACC">
        <w:t xml:space="preserve">les données nationales proposées </w:t>
      </w:r>
      <w:r w:rsidR="000D741F" w:rsidRPr="00C73ACC">
        <w:rPr>
          <w:noProof w:val="0"/>
          <w:lang w:val="fr-FR"/>
        </w:rPr>
        <w:t xml:space="preserve">pour le sous-secteur </w:t>
      </w:r>
      <w:r w:rsidR="000D741F">
        <w:rPr>
          <w:noProof w:val="0"/>
          <w:lang w:val="fr-FR"/>
        </w:rPr>
        <w:t>énergies résidentielles</w:t>
      </w:r>
      <w:r w:rsidR="000D741F" w:rsidRPr="00C73ACC">
        <w:t xml:space="preserve"> </w:t>
      </w:r>
      <w:r w:rsidR="005C6A5A" w:rsidRPr="00C73ACC">
        <w:t xml:space="preserve">dans </w:t>
      </w:r>
      <w:r w:rsidR="000D741F">
        <w:t xml:space="preserve">le </w:t>
      </w:r>
      <w:r w:rsidR="005C6A5A" w:rsidRPr="00C73ACC">
        <w:t>modèle GACMO</w:t>
      </w:r>
      <w:r w:rsidR="00CF553A" w:rsidRPr="00C73ACC">
        <w:t xml:space="preserve"> </w:t>
      </w:r>
      <w:r w:rsidR="006D3527">
        <w:t xml:space="preserve">suivant </w:t>
      </w:r>
      <w:r w:rsidR="00DB6978" w:rsidRPr="00C73ACC">
        <w:rPr>
          <w:noProof w:val="0"/>
          <w:lang w:val="fr-FR"/>
        </w:rPr>
        <w:t>2 scénarios :</w:t>
      </w:r>
    </w:p>
    <w:p w14:paraId="1FD24FA5" w14:textId="1237641A" w:rsidR="00DB6978" w:rsidRPr="009F25CF" w:rsidRDefault="00DB6978">
      <w:pPr>
        <w:pStyle w:val="Paragraphedeliste"/>
        <w:numPr>
          <w:ilvl w:val="0"/>
          <w:numId w:val="2"/>
        </w:numPr>
        <w:ind w:left="426" w:hanging="284"/>
        <w:rPr>
          <w:rFonts w:ascii="Comic Sans MS" w:hAnsi="Comic Sans MS" w:cs="Calibri"/>
        </w:rPr>
      </w:pPr>
      <w:r w:rsidRPr="009F25CF">
        <w:rPr>
          <w:rFonts w:ascii="Comic Sans MS" w:hAnsi="Comic Sans MS" w:cs="Calibri"/>
        </w:rPr>
        <w:t xml:space="preserve">un scénario de base ou de référence </w:t>
      </w:r>
      <w:r w:rsidR="006D3527">
        <w:rPr>
          <w:rFonts w:ascii="Comic Sans MS" w:hAnsi="Comic Sans MS" w:cs="Calibri"/>
        </w:rPr>
        <w:t>« </w:t>
      </w:r>
      <w:r w:rsidRPr="009F25CF">
        <w:rPr>
          <w:rFonts w:ascii="Comic Sans MS" w:hAnsi="Comic Sans MS" w:cs="Calibri"/>
        </w:rPr>
        <w:t>sans</w:t>
      </w:r>
      <w:r w:rsidR="00282EBA" w:rsidRPr="009F25CF">
        <w:rPr>
          <w:rFonts w:ascii="Comic Sans MS" w:hAnsi="Comic Sans MS" w:cs="Calibri"/>
        </w:rPr>
        <w:t xml:space="preserve"> </w:t>
      </w:r>
      <w:r w:rsidRPr="009F25CF">
        <w:rPr>
          <w:rFonts w:ascii="Comic Sans MS" w:hAnsi="Comic Sans MS" w:cs="Calibri"/>
        </w:rPr>
        <w:t>mesures d’atténuation</w:t>
      </w:r>
      <w:r w:rsidR="006D3527">
        <w:rPr>
          <w:rFonts w:ascii="Comic Sans MS" w:hAnsi="Comic Sans MS" w:cs="Calibri"/>
        </w:rPr>
        <w:t> »</w:t>
      </w:r>
      <w:r w:rsidRPr="009F25CF">
        <w:rPr>
          <w:rFonts w:ascii="Comic Sans MS" w:hAnsi="Comic Sans MS" w:cs="Calibri"/>
        </w:rPr>
        <w:t> ;</w:t>
      </w:r>
    </w:p>
    <w:p w14:paraId="62462B34" w14:textId="3A361B8F" w:rsidR="00DB6978" w:rsidRPr="009F25CF" w:rsidRDefault="00DB6978">
      <w:pPr>
        <w:pStyle w:val="Paragraphedeliste"/>
        <w:numPr>
          <w:ilvl w:val="0"/>
          <w:numId w:val="2"/>
        </w:numPr>
        <w:ind w:left="426" w:hanging="284"/>
        <w:rPr>
          <w:rFonts w:ascii="Comic Sans MS" w:hAnsi="Comic Sans MS" w:cs="Calibri"/>
        </w:rPr>
      </w:pPr>
      <w:r w:rsidRPr="009F25CF">
        <w:rPr>
          <w:rFonts w:ascii="Comic Sans MS" w:hAnsi="Comic Sans MS" w:cs="Calibri"/>
        </w:rPr>
        <w:t xml:space="preserve">un scénario avec des </w:t>
      </w:r>
      <w:r w:rsidR="00282EBA" w:rsidRPr="009F25CF">
        <w:rPr>
          <w:rFonts w:ascii="Comic Sans MS" w:hAnsi="Comic Sans MS" w:cs="Calibri"/>
        </w:rPr>
        <w:t xml:space="preserve">nouvelles </w:t>
      </w:r>
      <w:r w:rsidRPr="009F25CF">
        <w:rPr>
          <w:rFonts w:ascii="Comic Sans MS" w:hAnsi="Comic Sans MS" w:cs="Calibri"/>
        </w:rPr>
        <w:t>mesures d'atténuation visant la conservation</w:t>
      </w:r>
      <w:r w:rsidR="00C73ACC">
        <w:rPr>
          <w:rFonts w:ascii="Comic Sans MS" w:hAnsi="Comic Sans MS" w:cs="Calibri"/>
        </w:rPr>
        <w:t xml:space="preserve"> du </w:t>
      </w:r>
      <w:r w:rsidRPr="009F25CF">
        <w:rPr>
          <w:rFonts w:ascii="Comic Sans MS" w:hAnsi="Comic Sans MS" w:cs="Calibri"/>
        </w:rPr>
        <w:t>stockage d</w:t>
      </w:r>
      <w:r w:rsidR="00282EBA" w:rsidRPr="009F25CF">
        <w:rPr>
          <w:rFonts w:ascii="Comic Sans MS" w:hAnsi="Comic Sans MS" w:cs="Calibri"/>
        </w:rPr>
        <w:t>u</w:t>
      </w:r>
      <w:r w:rsidRPr="009F25CF">
        <w:rPr>
          <w:rFonts w:ascii="Comic Sans MS" w:hAnsi="Comic Sans MS" w:cs="Calibri"/>
        </w:rPr>
        <w:t xml:space="preserve"> carbone</w:t>
      </w:r>
      <w:r w:rsidR="0073279B">
        <w:rPr>
          <w:rFonts w:ascii="Comic Sans MS" w:hAnsi="Comic Sans MS" w:cs="Calibri"/>
        </w:rPr>
        <w:t xml:space="preserve"> </w:t>
      </w:r>
      <w:r w:rsidR="00DE74DC">
        <w:rPr>
          <w:rFonts w:ascii="Comic Sans MS" w:hAnsi="Comic Sans MS" w:cs="Calibri"/>
        </w:rPr>
        <w:t>par la réduction de la consommation des combustibles ligneux.</w:t>
      </w:r>
    </w:p>
    <w:p w14:paraId="3E64013F" w14:textId="77777777" w:rsidR="00402E19" w:rsidRPr="009F25CF" w:rsidRDefault="00402E19" w:rsidP="00DB6978">
      <w:pPr>
        <w:adjustRightInd w:val="0"/>
        <w:spacing w:before="0"/>
        <w:ind w:left="0" w:firstLine="0"/>
        <w:rPr>
          <w:rFonts w:ascii="Comic Sans MS" w:hAnsi="Comic Sans MS" w:cs="Calibri"/>
          <w:sz w:val="24"/>
          <w:szCs w:val="24"/>
        </w:rPr>
      </w:pPr>
    </w:p>
    <w:p w14:paraId="17F8F831" w14:textId="469A93D8" w:rsidR="00DB6978" w:rsidRPr="009F25CF" w:rsidRDefault="00DB6978" w:rsidP="00DB6978">
      <w:pPr>
        <w:adjustRightInd w:val="0"/>
        <w:spacing w:before="0"/>
        <w:ind w:left="0" w:firstLine="0"/>
        <w:rPr>
          <w:rFonts w:ascii="Comic Sans MS" w:eastAsiaTheme="minorHAnsi" w:hAnsi="Comic Sans MS" w:cs="Calibri"/>
          <w:sz w:val="24"/>
          <w:szCs w:val="24"/>
        </w:rPr>
      </w:pPr>
      <w:r w:rsidRPr="009F25CF">
        <w:rPr>
          <w:rFonts w:ascii="Comic Sans MS" w:hAnsi="Comic Sans MS" w:cs="Calibri"/>
          <w:sz w:val="24"/>
          <w:szCs w:val="24"/>
        </w:rPr>
        <w:lastRenderedPageBreak/>
        <w:t>La</w:t>
      </w:r>
      <w:r w:rsidRPr="009F25CF">
        <w:rPr>
          <w:rFonts w:ascii="Comic Sans MS" w:eastAsiaTheme="minorHAnsi" w:hAnsi="Comic Sans MS" w:cs="Calibri"/>
          <w:sz w:val="24"/>
          <w:szCs w:val="24"/>
        </w:rPr>
        <w:t xml:space="preserve"> priorité a été accordée aux mesures </w:t>
      </w:r>
      <w:r w:rsidR="00A5123E" w:rsidRPr="009F25CF">
        <w:rPr>
          <w:rFonts w:ascii="Comic Sans MS" w:eastAsiaTheme="minorHAnsi" w:hAnsi="Comic Sans MS" w:cs="Calibri"/>
          <w:sz w:val="24"/>
          <w:szCs w:val="24"/>
        </w:rPr>
        <w:t>d’atténuation</w:t>
      </w:r>
      <w:r w:rsidR="00CF0333">
        <w:rPr>
          <w:rFonts w:ascii="Comic Sans MS" w:eastAsiaTheme="minorHAnsi" w:hAnsi="Comic Sans MS" w:cs="Calibri"/>
          <w:sz w:val="24"/>
          <w:szCs w:val="24"/>
        </w:rPr>
        <w:t>s</w:t>
      </w:r>
      <w:r w:rsidR="00A5123E" w:rsidRPr="009F25CF">
        <w:rPr>
          <w:rFonts w:ascii="Comic Sans MS" w:eastAsiaTheme="minorHAnsi" w:hAnsi="Comic Sans MS" w:cs="Calibri"/>
          <w:sz w:val="24"/>
          <w:szCs w:val="24"/>
        </w:rPr>
        <w:t xml:space="preserve"> </w:t>
      </w:r>
      <w:r w:rsidRPr="009F25CF">
        <w:rPr>
          <w:rFonts w:ascii="Comic Sans MS" w:eastAsiaTheme="minorHAnsi" w:hAnsi="Comic Sans MS" w:cs="Calibri"/>
          <w:sz w:val="24"/>
          <w:szCs w:val="24"/>
        </w:rPr>
        <w:t>qui ont l'impact le plus significatif dans l’influence des émissions de GES</w:t>
      </w:r>
      <w:r w:rsidR="00282EBA" w:rsidRPr="009F25CF">
        <w:rPr>
          <w:rFonts w:ascii="Comic Sans MS" w:eastAsiaTheme="minorHAnsi" w:hAnsi="Comic Sans MS" w:cs="Calibri"/>
          <w:sz w:val="24"/>
          <w:szCs w:val="24"/>
        </w:rPr>
        <w:t xml:space="preserve"> au niveau national </w:t>
      </w:r>
      <w:r w:rsidRPr="009F25CF">
        <w:rPr>
          <w:rFonts w:ascii="Comic Sans MS" w:eastAsiaTheme="minorHAnsi" w:hAnsi="Comic Sans MS" w:cs="Calibri"/>
          <w:sz w:val="24"/>
          <w:szCs w:val="24"/>
        </w:rPr>
        <w:t>pour les années 20</w:t>
      </w:r>
      <w:r w:rsidR="00783C53" w:rsidRPr="009F25CF">
        <w:rPr>
          <w:rFonts w:ascii="Comic Sans MS" w:eastAsiaTheme="minorHAnsi" w:hAnsi="Comic Sans MS" w:cs="Calibri"/>
          <w:sz w:val="24"/>
          <w:szCs w:val="24"/>
        </w:rPr>
        <w:t>25</w:t>
      </w:r>
      <w:r w:rsidRPr="009F25CF">
        <w:rPr>
          <w:rFonts w:ascii="Comic Sans MS" w:eastAsiaTheme="minorHAnsi" w:hAnsi="Comic Sans MS" w:cs="Calibri"/>
          <w:sz w:val="24"/>
          <w:szCs w:val="24"/>
        </w:rPr>
        <w:t>, 20</w:t>
      </w:r>
      <w:r w:rsidR="00783C53" w:rsidRPr="009F25CF">
        <w:rPr>
          <w:rFonts w:ascii="Comic Sans MS" w:eastAsiaTheme="minorHAnsi" w:hAnsi="Comic Sans MS" w:cs="Calibri"/>
          <w:sz w:val="24"/>
          <w:szCs w:val="24"/>
        </w:rPr>
        <w:t>30</w:t>
      </w:r>
      <w:r w:rsidRPr="009F25CF">
        <w:rPr>
          <w:rFonts w:ascii="Comic Sans MS" w:eastAsiaTheme="minorHAnsi" w:hAnsi="Comic Sans MS" w:cs="Calibri"/>
          <w:sz w:val="24"/>
          <w:szCs w:val="24"/>
        </w:rPr>
        <w:t>, 20</w:t>
      </w:r>
      <w:r w:rsidR="00783C53" w:rsidRPr="009F25CF">
        <w:rPr>
          <w:rFonts w:ascii="Comic Sans MS" w:eastAsiaTheme="minorHAnsi" w:hAnsi="Comic Sans MS" w:cs="Calibri"/>
          <w:sz w:val="24"/>
          <w:szCs w:val="24"/>
        </w:rPr>
        <w:t>35</w:t>
      </w:r>
      <w:r w:rsidRPr="009F25CF">
        <w:rPr>
          <w:rFonts w:ascii="Comic Sans MS" w:eastAsiaTheme="minorHAnsi" w:hAnsi="Comic Sans MS" w:cs="Calibri"/>
          <w:sz w:val="24"/>
          <w:szCs w:val="24"/>
        </w:rPr>
        <w:t xml:space="preserve"> et 20</w:t>
      </w:r>
      <w:r w:rsidR="00783C53" w:rsidRPr="009F25CF">
        <w:rPr>
          <w:rFonts w:ascii="Comic Sans MS" w:eastAsiaTheme="minorHAnsi" w:hAnsi="Comic Sans MS" w:cs="Calibri"/>
          <w:sz w:val="24"/>
          <w:szCs w:val="24"/>
        </w:rPr>
        <w:t>5</w:t>
      </w:r>
      <w:r w:rsidRPr="009F25CF">
        <w:rPr>
          <w:rFonts w:ascii="Comic Sans MS" w:eastAsiaTheme="minorHAnsi" w:hAnsi="Comic Sans MS" w:cs="Calibri"/>
          <w:sz w:val="24"/>
          <w:szCs w:val="24"/>
        </w:rPr>
        <w:t>0</w:t>
      </w:r>
      <w:r w:rsidR="009F1D55">
        <w:rPr>
          <w:rFonts w:ascii="Comic Sans MS" w:eastAsiaTheme="minorHAnsi" w:hAnsi="Comic Sans MS" w:cs="Calibri"/>
          <w:sz w:val="24"/>
          <w:szCs w:val="24"/>
        </w:rPr>
        <w:t xml:space="preserve"> par rapport à la situation en 2020</w:t>
      </w:r>
      <w:r w:rsidRPr="009F25CF">
        <w:rPr>
          <w:rFonts w:ascii="Comic Sans MS" w:eastAsiaTheme="minorHAnsi" w:hAnsi="Comic Sans MS" w:cs="Calibri"/>
          <w:sz w:val="24"/>
          <w:szCs w:val="24"/>
        </w:rPr>
        <w:t xml:space="preserve">. </w:t>
      </w:r>
    </w:p>
    <w:p w14:paraId="78B4E0D3" w14:textId="77777777" w:rsidR="00DB6978" w:rsidRDefault="00DB6978" w:rsidP="00DB6978">
      <w:pPr>
        <w:rPr>
          <w:rFonts w:ascii="Comic Sans MS" w:hAnsi="Comic Sans MS"/>
          <w:lang w:eastAsia="ja-JP"/>
        </w:rPr>
      </w:pPr>
    </w:p>
    <w:p w14:paraId="267FCC71" w14:textId="77777777" w:rsidR="00272BC1" w:rsidRPr="009F25CF" w:rsidRDefault="00272BC1" w:rsidP="00DB6978">
      <w:pPr>
        <w:rPr>
          <w:rFonts w:ascii="Comic Sans MS" w:hAnsi="Comic Sans MS"/>
          <w:lang w:eastAsia="ja-JP"/>
        </w:rPr>
      </w:pPr>
    </w:p>
    <w:p w14:paraId="38FA12C8" w14:textId="48CC04F5" w:rsidR="00FE6905" w:rsidRPr="009F25CF" w:rsidRDefault="006A01FA">
      <w:pPr>
        <w:pStyle w:val="Titre1"/>
        <w:numPr>
          <w:ilvl w:val="0"/>
          <w:numId w:val="11"/>
        </w:numPr>
        <w:bidi w:val="0"/>
        <w:spacing w:before="0"/>
        <w:ind w:left="1134" w:hanging="1134"/>
        <w:jc w:val="left"/>
        <w:rPr>
          <w:rFonts w:ascii="Comic Sans MS" w:hAnsi="Comic Sans MS" w:cstheme="minorHAnsi"/>
          <w:sz w:val="24"/>
          <w:szCs w:val="24"/>
          <w:lang w:val="fr-FR"/>
        </w:rPr>
      </w:pPr>
      <w:bookmarkStart w:id="26" w:name="_Toc166937620"/>
      <w:r w:rsidRPr="009F25CF">
        <w:rPr>
          <w:rFonts w:ascii="Comic Sans MS" w:hAnsi="Comic Sans MS" w:cstheme="minorHAnsi"/>
          <w:sz w:val="24"/>
          <w:szCs w:val="24"/>
          <w:lang w:val="fr-FR"/>
        </w:rPr>
        <w:t>S</w:t>
      </w:r>
      <w:r w:rsidR="00FE6905" w:rsidRPr="009F25CF">
        <w:rPr>
          <w:rFonts w:ascii="Comic Sans MS" w:hAnsi="Comic Sans MS" w:cstheme="minorHAnsi"/>
          <w:sz w:val="24"/>
          <w:szCs w:val="24"/>
          <w:lang w:val="fr-FR"/>
        </w:rPr>
        <w:t xml:space="preserve">cénario de référence des émissions de GES </w:t>
      </w:r>
      <w:r w:rsidRPr="009F25CF">
        <w:rPr>
          <w:rFonts w:ascii="Comic Sans MS" w:hAnsi="Comic Sans MS" w:cstheme="minorHAnsi"/>
          <w:sz w:val="24"/>
          <w:szCs w:val="24"/>
          <w:lang w:val="fr-FR"/>
        </w:rPr>
        <w:t xml:space="preserve">du sous-secteur </w:t>
      </w:r>
      <w:r w:rsidR="009F1D55">
        <w:rPr>
          <w:rFonts w:ascii="Comic Sans MS" w:hAnsi="Comic Sans MS" w:cstheme="minorHAnsi"/>
          <w:sz w:val="24"/>
          <w:szCs w:val="24"/>
          <w:lang w:val="fr-FR"/>
        </w:rPr>
        <w:t xml:space="preserve">énergies résidentielles </w:t>
      </w:r>
      <w:r w:rsidR="00FE6905" w:rsidRPr="009F25CF">
        <w:rPr>
          <w:rFonts w:ascii="Comic Sans MS" w:hAnsi="Comic Sans MS" w:cstheme="minorHAnsi"/>
          <w:sz w:val="24"/>
          <w:szCs w:val="24"/>
          <w:lang w:val="fr-FR"/>
        </w:rPr>
        <w:t>à l’horizon 2030</w:t>
      </w:r>
      <w:bookmarkEnd w:id="26"/>
    </w:p>
    <w:p w14:paraId="6BAF4734" w14:textId="0FD2E4AB" w:rsidR="00EE5153" w:rsidRPr="009F25CF" w:rsidRDefault="009F1D55" w:rsidP="00B60580">
      <w:pPr>
        <w:adjustRightInd w:val="0"/>
        <w:spacing w:before="0"/>
        <w:ind w:left="0" w:firstLine="0"/>
        <w:jc w:val="lowKashida"/>
        <w:rPr>
          <w:rFonts w:ascii="Comic Sans MS" w:eastAsiaTheme="minorHAnsi" w:hAnsi="Comic Sans MS" w:cs="Calibri"/>
          <w:sz w:val="24"/>
          <w:szCs w:val="24"/>
        </w:rPr>
      </w:pPr>
      <w:r>
        <w:rPr>
          <w:rFonts w:ascii="Comic Sans MS" w:eastAsiaTheme="minorHAnsi" w:hAnsi="Comic Sans MS" w:cs="Calibri"/>
          <w:sz w:val="24"/>
          <w:szCs w:val="24"/>
        </w:rPr>
        <w:t xml:space="preserve">Le </w:t>
      </w:r>
      <w:r w:rsidR="00EA05E5" w:rsidRPr="009F25CF">
        <w:rPr>
          <w:rFonts w:ascii="Comic Sans MS" w:eastAsiaTheme="minorHAnsi" w:hAnsi="Comic Sans MS" w:cs="Calibri"/>
          <w:sz w:val="24"/>
          <w:szCs w:val="24"/>
        </w:rPr>
        <w:t xml:space="preserve">scénario de référence </w:t>
      </w:r>
      <w:r w:rsidR="00AF2414">
        <w:rPr>
          <w:rFonts w:ascii="Comic Sans MS" w:eastAsiaTheme="minorHAnsi" w:hAnsi="Comic Sans MS" w:cs="Calibri"/>
          <w:sz w:val="24"/>
          <w:szCs w:val="24"/>
        </w:rPr>
        <w:t xml:space="preserve">traduit </w:t>
      </w:r>
      <w:r w:rsidR="00DE74DC">
        <w:rPr>
          <w:rFonts w:ascii="Comic Sans MS" w:eastAsiaTheme="minorHAnsi" w:hAnsi="Comic Sans MS" w:cs="Calibri"/>
          <w:sz w:val="24"/>
          <w:szCs w:val="24"/>
        </w:rPr>
        <w:t xml:space="preserve">la situation actuelle et </w:t>
      </w:r>
      <w:r w:rsidR="00E53365" w:rsidRPr="009F25CF">
        <w:rPr>
          <w:rFonts w:ascii="Comic Sans MS" w:eastAsiaTheme="minorHAnsi" w:hAnsi="Comic Sans MS" w:cs="Calibri"/>
          <w:sz w:val="24"/>
          <w:szCs w:val="24"/>
        </w:rPr>
        <w:t xml:space="preserve">les évolutions probables </w:t>
      </w:r>
      <w:r w:rsidR="00DE74DC">
        <w:rPr>
          <w:rFonts w:ascii="Comic Sans MS" w:eastAsiaTheme="minorHAnsi" w:hAnsi="Comic Sans MS" w:cs="Calibri"/>
          <w:sz w:val="24"/>
          <w:szCs w:val="24"/>
        </w:rPr>
        <w:t xml:space="preserve">des émissions des GES </w:t>
      </w:r>
      <w:r w:rsidR="00340BE4">
        <w:rPr>
          <w:rFonts w:ascii="Comic Sans MS" w:eastAsiaTheme="minorHAnsi" w:hAnsi="Comic Sans MS" w:cs="Calibri"/>
          <w:sz w:val="24"/>
          <w:szCs w:val="24"/>
        </w:rPr>
        <w:t>à la situation normale</w:t>
      </w:r>
      <w:r w:rsidR="00340BE4" w:rsidRPr="009F25CF">
        <w:rPr>
          <w:rFonts w:ascii="Comic Sans MS" w:eastAsiaTheme="minorHAnsi" w:hAnsi="Comic Sans MS" w:cs="Calibri"/>
          <w:sz w:val="24"/>
          <w:szCs w:val="24"/>
        </w:rPr>
        <w:t xml:space="preserve"> </w:t>
      </w:r>
      <w:r w:rsidR="00E53365" w:rsidRPr="009F25CF">
        <w:rPr>
          <w:rFonts w:ascii="Comic Sans MS" w:eastAsiaTheme="minorHAnsi" w:hAnsi="Comic Sans MS" w:cs="Calibri"/>
          <w:sz w:val="24"/>
          <w:szCs w:val="24"/>
        </w:rPr>
        <w:t>en l'absence de</w:t>
      </w:r>
      <w:r w:rsidR="0085795A" w:rsidRPr="009F25CF">
        <w:rPr>
          <w:rFonts w:ascii="Comic Sans MS" w:eastAsiaTheme="minorHAnsi" w:hAnsi="Comic Sans MS" w:cs="Calibri"/>
          <w:sz w:val="24"/>
          <w:szCs w:val="24"/>
        </w:rPr>
        <w:t>s nouvelles</w:t>
      </w:r>
      <w:r w:rsidR="00E53365" w:rsidRPr="009F25CF">
        <w:rPr>
          <w:rFonts w:ascii="Comic Sans MS" w:eastAsiaTheme="minorHAnsi" w:hAnsi="Comic Sans MS" w:cs="Calibri"/>
          <w:sz w:val="24"/>
          <w:szCs w:val="24"/>
        </w:rPr>
        <w:t xml:space="preserve"> mesures d'atténuation.</w:t>
      </w:r>
      <w:r w:rsidR="004536F3" w:rsidRPr="009F25CF">
        <w:rPr>
          <w:rFonts w:ascii="Comic Sans MS" w:eastAsiaTheme="minorHAnsi" w:hAnsi="Comic Sans MS" w:cs="Calibri"/>
          <w:sz w:val="24"/>
          <w:szCs w:val="24"/>
        </w:rPr>
        <w:t xml:space="preserve"> Il </w:t>
      </w:r>
      <w:r w:rsidR="00DE74DC">
        <w:rPr>
          <w:rFonts w:ascii="Comic Sans MS" w:eastAsiaTheme="minorHAnsi" w:hAnsi="Comic Sans MS" w:cs="Calibri"/>
          <w:sz w:val="24"/>
          <w:szCs w:val="24"/>
        </w:rPr>
        <w:t xml:space="preserve">a </w:t>
      </w:r>
      <w:r w:rsidR="00EA05E5" w:rsidRPr="009F25CF">
        <w:rPr>
          <w:rFonts w:ascii="Comic Sans MS" w:eastAsiaTheme="minorHAnsi" w:hAnsi="Comic Sans MS" w:cs="Calibri"/>
          <w:sz w:val="24"/>
          <w:szCs w:val="24"/>
        </w:rPr>
        <w:t>perm</w:t>
      </w:r>
      <w:r w:rsidR="00DE74DC">
        <w:rPr>
          <w:rFonts w:ascii="Comic Sans MS" w:eastAsiaTheme="minorHAnsi" w:hAnsi="Comic Sans MS" w:cs="Calibri"/>
          <w:sz w:val="24"/>
          <w:szCs w:val="24"/>
        </w:rPr>
        <w:t xml:space="preserve">is </w:t>
      </w:r>
      <w:r w:rsidR="00EA05E5" w:rsidRPr="009F25CF">
        <w:rPr>
          <w:rFonts w:ascii="Comic Sans MS" w:eastAsiaTheme="minorHAnsi" w:hAnsi="Comic Sans MS" w:cs="Calibri"/>
          <w:sz w:val="24"/>
          <w:szCs w:val="24"/>
        </w:rPr>
        <w:t xml:space="preserve">d’évaluer l’efficacité des </w:t>
      </w:r>
      <w:r w:rsidR="00276EE6">
        <w:rPr>
          <w:rFonts w:ascii="Comic Sans MS" w:eastAsiaTheme="minorHAnsi" w:hAnsi="Comic Sans MS" w:cs="Calibri"/>
          <w:sz w:val="24"/>
          <w:szCs w:val="24"/>
        </w:rPr>
        <w:t xml:space="preserve">mesures </w:t>
      </w:r>
      <w:r w:rsidR="00EA05E5" w:rsidRPr="009F25CF">
        <w:rPr>
          <w:rFonts w:ascii="Comic Sans MS" w:eastAsiaTheme="minorHAnsi" w:hAnsi="Comic Sans MS" w:cs="Calibri"/>
          <w:sz w:val="24"/>
          <w:szCs w:val="24"/>
        </w:rPr>
        <w:t>d’atténuation</w:t>
      </w:r>
      <w:r w:rsidR="005E0C1F" w:rsidRPr="009F25CF">
        <w:rPr>
          <w:rFonts w:ascii="Comic Sans MS" w:eastAsiaTheme="minorHAnsi" w:hAnsi="Comic Sans MS" w:cs="Calibri"/>
          <w:sz w:val="24"/>
          <w:szCs w:val="24"/>
        </w:rPr>
        <w:t xml:space="preserve"> </w:t>
      </w:r>
      <w:r w:rsidR="004536F3" w:rsidRPr="009F25CF">
        <w:rPr>
          <w:rFonts w:ascii="Comic Sans MS" w:eastAsiaTheme="minorHAnsi" w:hAnsi="Comic Sans MS" w:cs="Calibri"/>
          <w:sz w:val="24"/>
          <w:szCs w:val="24"/>
        </w:rPr>
        <w:t xml:space="preserve">et </w:t>
      </w:r>
      <w:r w:rsidR="00E53365" w:rsidRPr="009F25CF">
        <w:rPr>
          <w:rFonts w:ascii="Comic Sans MS" w:eastAsiaTheme="minorHAnsi" w:hAnsi="Comic Sans MS" w:cs="Calibri"/>
          <w:sz w:val="24"/>
          <w:szCs w:val="24"/>
        </w:rPr>
        <w:t>le</w:t>
      </w:r>
      <w:r w:rsidR="00276EE6">
        <w:rPr>
          <w:rFonts w:ascii="Comic Sans MS" w:eastAsiaTheme="minorHAnsi" w:hAnsi="Comic Sans MS" w:cs="Calibri"/>
          <w:sz w:val="24"/>
          <w:szCs w:val="24"/>
        </w:rPr>
        <w:t>ur</w:t>
      </w:r>
      <w:r w:rsidR="00E53365" w:rsidRPr="009F25CF">
        <w:rPr>
          <w:rFonts w:ascii="Comic Sans MS" w:eastAsiaTheme="minorHAnsi" w:hAnsi="Comic Sans MS" w:cs="Calibri"/>
          <w:sz w:val="24"/>
          <w:szCs w:val="24"/>
        </w:rPr>
        <w:t>s impacts financiers</w:t>
      </w:r>
      <w:r w:rsidR="00340BE4">
        <w:rPr>
          <w:rFonts w:ascii="Comic Sans MS" w:eastAsiaTheme="minorHAnsi" w:hAnsi="Comic Sans MS" w:cs="Calibri"/>
          <w:sz w:val="24"/>
          <w:szCs w:val="24"/>
        </w:rPr>
        <w:t xml:space="preserve"> et</w:t>
      </w:r>
      <w:r w:rsidR="00E53365" w:rsidRPr="009F25CF">
        <w:rPr>
          <w:rFonts w:ascii="Comic Sans MS" w:eastAsiaTheme="minorHAnsi" w:hAnsi="Comic Sans MS" w:cs="Calibri"/>
          <w:sz w:val="24"/>
          <w:szCs w:val="24"/>
        </w:rPr>
        <w:t xml:space="preserve"> économiques.</w:t>
      </w:r>
      <w:r w:rsidR="00EE5153" w:rsidRPr="009F25CF">
        <w:rPr>
          <w:rFonts w:ascii="Comic Sans MS" w:eastAsiaTheme="minorHAnsi" w:hAnsi="Comic Sans MS" w:cs="Calibri"/>
          <w:sz w:val="24"/>
          <w:szCs w:val="24"/>
        </w:rPr>
        <w:t xml:space="preserve"> </w:t>
      </w:r>
    </w:p>
    <w:p w14:paraId="5B6189A2" w14:textId="3E4B7460" w:rsidR="00E53365" w:rsidRPr="009F25CF" w:rsidRDefault="00E53365" w:rsidP="00AC698E">
      <w:pPr>
        <w:adjustRightInd w:val="0"/>
        <w:spacing w:before="0"/>
        <w:ind w:left="0" w:firstLine="0"/>
        <w:jc w:val="lowKashida"/>
        <w:rPr>
          <w:rFonts w:ascii="Comic Sans MS" w:eastAsiaTheme="minorHAnsi" w:hAnsi="Comic Sans MS" w:cs="Calibri"/>
          <w:sz w:val="24"/>
          <w:szCs w:val="24"/>
        </w:rPr>
      </w:pPr>
    </w:p>
    <w:p w14:paraId="55C470ED" w14:textId="36C9B295" w:rsidR="00EE5153" w:rsidRPr="001F1F4C" w:rsidRDefault="009F1D55" w:rsidP="00377124">
      <w:pPr>
        <w:adjustRightInd w:val="0"/>
        <w:spacing w:before="0"/>
        <w:ind w:left="0" w:firstLine="0"/>
        <w:jc w:val="lowKashida"/>
        <w:rPr>
          <w:rFonts w:ascii="Comic Sans MS" w:hAnsi="Comic Sans MS" w:cs="Calibri"/>
          <w:sz w:val="24"/>
          <w:szCs w:val="24"/>
        </w:rPr>
      </w:pPr>
      <w:r w:rsidRPr="001F1F4C">
        <w:rPr>
          <w:rFonts w:ascii="Comic Sans MS" w:eastAsiaTheme="minorHAnsi" w:hAnsi="Comic Sans MS" w:cs="Calibri"/>
          <w:sz w:val="24"/>
          <w:szCs w:val="24"/>
        </w:rPr>
        <w:t>L</w:t>
      </w:r>
      <w:r w:rsidR="00A803BB" w:rsidRPr="001F1F4C">
        <w:rPr>
          <w:rFonts w:ascii="Comic Sans MS" w:eastAsiaTheme="minorHAnsi" w:hAnsi="Comic Sans MS" w:cs="Calibri"/>
          <w:sz w:val="24"/>
          <w:szCs w:val="24"/>
        </w:rPr>
        <w:t>e</w:t>
      </w:r>
      <w:r w:rsidRPr="001F1F4C">
        <w:rPr>
          <w:rFonts w:ascii="Comic Sans MS" w:eastAsiaTheme="minorHAnsi" w:hAnsi="Comic Sans MS" w:cs="Calibri"/>
          <w:sz w:val="24"/>
          <w:szCs w:val="24"/>
        </w:rPr>
        <w:t xml:space="preserve"> s</w:t>
      </w:r>
      <w:r w:rsidR="00A803BB" w:rsidRPr="001F1F4C">
        <w:rPr>
          <w:rFonts w:ascii="Comic Sans MS" w:eastAsiaTheme="minorHAnsi" w:hAnsi="Comic Sans MS" w:cs="Calibri"/>
          <w:sz w:val="24"/>
          <w:szCs w:val="24"/>
        </w:rPr>
        <w:t>cénario</w:t>
      </w:r>
      <w:r w:rsidRPr="001F1F4C">
        <w:rPr>
          <w:rFonts w:ascii="Comic Sans MS" w:eastAsiaTheme="minorHAnsi" w:hAnsi="Comic Sans MS" w:cs="Calibri"/>
          <w:sz w:val="24"/>
          <w:szCs w:val="24"/>
        </w:rPr>
        <w:t xml:space="preserve"> de référence a été établi sur la base de la tendance des émissions liés à l’utilisation des combustibles ligneux comme énergie résidentielle. </w:t>
      </w:r>
      <w:r w:rsidR="001F1F4C" w:rsidRPr="001F1F4C">
        <w:rPr>
          <w:rFonts w:ascii="Comic Sans MS" w:eastAsiaTheme="minorHAnsi" w:hAnsi="Comic Sans MS" w:cs="Calibri"/>
          <w:sz w:val="24"/>
          <w:szCs w:val="24"/>
        </w:rPr>
        <w:t>A noter que l</w:t>
      </w:r>
      <w:r w:rsidRPr="001F1F4C">
        <w:rPr>
          <w:rFonts w:ascii="Comic Sans MS" w:eastAsiaTheme="minorHAnsi" w:hAnsi="Comic Sans MS" w:cs="Calibri"/>
          <w:sz w:val="24"/>
          <w:szCs w:val="24"/>
        </w:rPr>
        <w:t xml:space="preserve">a production </w:t>
      </w:r>
      <w:r w:rsidR="001F1F4C" w:rsidRPr="001F1F4C">
        <w:rPr>
          <w:rFonts w:ascii="Comic Sans MS" w:eastAsiaTheme="minorHAnsi" w:hAnsi="Comic Sans MS" w:cs="Calibri"/>
          <w:sz w:val="24"/>
          <w:szCs w:val="24"/>
        </w:rPr>
        <w:t>d</w:t>
      </w:r>
      <w:r w:rsidRPr="001F1F4C">
        <w:rPr>
          <w:rFonts w:ascii="Comic Sans MS" w:eastAsiaTheme="minorHAnsi" w:hAnsi="Comic Sans MS" w:cs="Calibri"/>
          <w:sz w:val="24"/>
          <w:szCs w:val="24"/>
        </w:rPr>
        <w:t xml:space="preserve">es combustibles ligneux </w:t>
      </w:r>
      <w:r w:rsidR="001F1F4C" w:rsidRPr="001F1F4C">
        <w:rPr>
          <w:rFonts w:ascii="Comic Sans MS" w:eastAsiaTheme="minorHAnsi" w:hAnsi="Comic Sans MS" w:cs="Calibri"/>
          <w:sz w:val="24"/>
          <w:szCs w:val="24"/>
        </w:rPr>
        <w:t xml:space="preserve">nécessite </w:t>
      </w:r>
      <w:r w:rsidR="004227B4" w:rsidRPr="001F1F4C">
        <w:rPr>
          <w:rFonts w:ascii="Comic Sans MS" w:eastAsiaTheme="minorHAnsi" w:hAnsi="Comic Sans MS" w:cs="Calibri"/>
          <w:sz w:val="24"/>
          <w:szCs w:val="24"/>
        </w:rPr>
        <w:t>l’exploitation des forêts et des terres boisées</w:t>
      </w:r>
      <w:r w:rsidR="001F1F4C" w:rsidRPr="001F1F4C">
        <w:rPr>
          <w:rFonts w:ascii="Comic Sans MS" w:eastAsiaTheme="minorHAnsi" w:hAnsi="Comic Sans MS" w:cs="Calibri"/>
          <w:sz w:val="24"/>
          <w:szCs w:val="24"/>
        </w:rPr>
        <w:t xml:space="preserve">. Cette pratique conduit souvent </w:t>
      </w:r>
      <w:r w:rsidR="004227B4" w:rsidRPr="001F1F4C">
        <w:rPr>
          <w:rFonts w:ascii="Comic Sans MS" w:eastAsiaTheme="minorHAnsi" w:hAnsi="Comic Sans MS" w:cs="Calibri"/>
          <w:sz w:val="24"/>
          <w:szCs w:val="24"/>
        </w:rPr>
        <w:t xml:space="preserve">à la déforestation </w:t>
      </w:r>
      <w:r w:rsidR="001F1F4C" w:rsidRPr="001F1F4C">
        <w:rPr>
          <w:rFonts w:ascii="Comic Sans MS" w:eastAsiaTheme="minorHAnsi" w:hAnsi="Comic Sans MS" w:cs="Calibri"/>
          <w:sz w:val="24"/>
          <w:szCs w:val="24"/>
        </w:rPr>
        <w:t xml:space="preserve">et donc la </w:t>
      </w:r>
      <w:r w:rsidR="004227B4" w:rsidRPr="001F1F4C">
        <w:rPr>
          <w:rFonts w:ascii="Comic Sans MS" w:eastAsiaTheme="minorHAnsi" w:hAnsi="Comic Sans MS" w:cs="Calibri"/>
          <w:sz w:val="24"/>
          <w:szCs w:val="24"/>
        </w:rPr>
        <w:t>rédu</w:t>
      </w:r>
      <w:r w:rsidR="001F1F4C" w:rsidRPr="001F1F4C">
        <w:rPr>
          <w:rFonts w:ascii="Comic Sans MS" w:eastAsiaTheme="minorHAnsi" w:hAnsi="Comic Sans MS" w:cs="Calibri"/>
          <w:sz w:val="24"/>
          <w:szCs w:val="24"/>
        </w:rPr>
        <w:t xml:space="preserve">ction de </w:t>
      </w:r>
      <w:r w:rsidR="004227B4" w:rsidRPr="001F1F4C">
        <w:rPr>
          <w:rFonts w:ascii="Comic Sans MS" w:eastAsiaTheme="minorHAnsi" w:hAnsi="Comic Sans MS" w:cs="Calibri"/>
          <w:sz w:val="24"/>
          <w:szCs w:val="24"/>
        </w:rPr>
        <w:t xml:space="preserve">la séquestration du carbone. </w:t>
      </w:r>
      <w:r w:rsidR="00EE5153" w:rsidRPr="001F1F4C">
        <w:rPr>
          <w:rFonts w:ascii="Comic Sans MS" w:eastAsiaTheme="minorHAnsi" w:hAnsi="Comic Sans MS" w:cs="Calibri"/>
          <w:sz w:val="24"/>
          <w:szCs w:val="24"/>
        </w:rPr>
        <w:t>Selon les données disponibles (DPREM,2022)</w:t>
      </w:r>
      <w:r w:rsidR="001F1F4C">
        <w:rPr>
          <w:rFonts w:ascii="Comic Sans MS" w:eastAsiaTheme="minorHAnsi" w:hAnsi="Comic Sans MS" w:cs="Calibri"/>
          <w:sz w:val="24"/>
          <w:szCs w:val="24"/>
        </w:rPr>
        <w:t xml:space="preserve"> : (i) </w:t>
      </w:r>
      <w:r w:rsidR="00EE5153" w:rsidRPr="001F1F4C">
        <w:rPr>
          <w:rFonts w:ascii="Comic Sans MS" w:eastAsiaTheme="minorHAnsi" w:hAnsi="Comic Sans MS" w:cs="Calibri"/>
          <w:sz w:val="24"/>
          <w:szCs w:val="24"/>
        </w:rPr>
        <w:t xml:space="preserve">la </w:t>
      </w:r>
      <w:r w:rsidR="0020565F" w:rsidRPr="001F1F4C">
        <w:rPr>
          <w:rFonts w:ascii="Comic Sans MS" w:hAnsi="Comic Sans MS" w:cs="Calibri"/>
          <w:sz w:val="24"/>
          <w:szCs w:val="24"/>
        </w:rPr>
        <w:t xml:space="preserve">déforestation </w:t>
      </w:r>
      <w:r w:rsidR="001F1F4C">
        <w:rPr>
          <w:rFonts w:ascii="Comic Sans MS" w:hAnsi="Comic Sans MS" w:cs="Calibri"/>
          <w:sz w:val="24"/>
          <w:szCs w:val="24"/>
        </w:rPr>
        <w:t xml:space="preserve">est estimée </w:t>
      </w:r>
      <w:r w:rsidR="00EE5153" w:rsidRPr="001F1F4C">
        <w:rPr>
          <w:rFonts w:ascii="Comic Sans MS" w:hAnsi="Comic Sans MS" w:cs="Calibri"/>
          <w:sz w:val="24"/>
          <w:szCs w:val="24"/>
        </w:rPr>
        <w:t xml:space="preserve">à </w:t>
      </w:r>
      <w:r w:rsidR="001F1F4C">
        <w:rPr>
          <w:rFonts w:ascii="Comic Sans MS" w:hAnsi="Comic Sans MS" w:cs="Calibri"/>
          <w:sz w:val="24"/>
          <w:szCs w:val="24"/>
        </w:rPr>
        <w:t xml:space="preserve">environ </w:t>
      </w:r>
      <w:r w:rsidR="00EE5153" w:rsidRPr="001F1F4C">
        <w:rPr>
          <w:rFonts w:ascii="Comic Sans MS" w:hAnsi="Comic Sans MS" w:cs="Calibri"/>
          <w:sz w:val="24"/>
          <w:szCs w:val="24"/>
        </w:rPr>
        <w:t>5</w:t>
      </w:r>
      <w:r w:rsidR="00A447E7" w:rsidRPr="001F1F4C">
        <w:rPr>
          <w:rFonts w:ascii="Comic Sans MS" w:hAnsi="Comic Sans MS" w:cs="Calibri"/>
          <w:sz w:val="24"/>
          <w:szCs w:val="24"/>
        </w:rPr>
        <w:t>5</w:t>
      </w:r>
      <w:r w:rsidR="00EE5153" w:rsidRPr="001F1F4C">
        <w:rPr>
          <w:rFonts w:ascii="Comic Sans MS" w:hAnsi="Comic Sans MS" w:cs="Calibri"/>
          <w:sz w:val="24"/>
          <w:szCs w:val="24"/>
        </w:rPr>
        <w:t>00 ha</w:t>
      </w:r>
      <w:r w:rsidR="0020565F" w:rsidRPr="001F1F4C">
        <w:rPr>
          <w:rFonts w:ascii="Comic Sans MS" w:hAnsi="Comic Sans MS" w:cs="Calibri"/>
          <w:sz w:val="24"/>
          <w:szCs w:val="24"/>
        </w:rPr>
        <w:t>/</w:t>
      </w:r>
      <w:r w:rsidR="00EE5153" w:rsidRPr="001F1F4C">
        <w:rPr>
          <w:rFonts w:ascii="Comic Sans MS" w:hAnsi="Comic Sans MS" w:cs="Calibri"/>
          <w:sz w:val="24"/>
          <w:szCs w:val="24"/>
        </w:rPr>
        <w:t xml:space="preserve">an </w:t>
      </w:r>
      <w:r w:rsidR="00FC0677" w:rsidRPr="001F1F4C">
        <w:rPr>
          <w:rFonts w:ascii="Comic Sans MS" w:hAnsi="Comic Sans MS" w:cs="Calibri"/>
          <w:sz w:val="24"/>
          <w:szCs w:val="24"/>
        </w:rPr>
        <w:t xml:space="preserve">depuis 2010 et </w:t>
      </w:r>
      <w:r w:rsidR="001F1F4C">
        <w:rPr>
          <w:rFonts w:ascii="Comic Sans MS" w:hAnsi="Comic Sans MS" w:cs="Calibri"/>
          <w:sz w:val="24"/>
          <w:szCs w:val="24"/>
        </w:rPr>
        <w:t>(ii) l</w:t>
      </w:r>
      <w:r w:rsidR="00FC0677" w:rsidRPr="001F1F4C">
        <w:rPr>
          <w:rFonts w:ascii="Comic Sans MS" w:eastAsiaTheme="minorHAnsi" w:hAnsi="Comic Sans MS" w:cs="Calibri"/>
          <w:sz w:val="24"/>
          <w:szCs w:val="24"/>
        </w:rPr>
        <w:t xml:space="preserve">es combustibles ligneux </w:t>
      </w:r>
      <w:r w:rsidR="001F1F4C">
        <w:rPr>
          <w:rFonts w:ascii="Comic Sans MS" w:eastAsiaTheme="minorHAnsi" w:hAnsi="Comic Sans MS" w:cs="Calibri"/>
          <w:sz w:val="24"/>
          <w:szCs w:val="24"/>
        </w:rPr>
        <w:t>couvr</w:t>
      </w:r>
      <w:r w:rsidR="00272BC1">
        <w:rPr>
          <w:rFonts w:ascii="Comic Sans MS" w:eastAsiaTheme="minorHAnsi" w:hAnsi="Comic Sans MS" w:cs="Calibri"/>
          <w:sz w:val="24"/>
          <w:szCs w:val="24"/>
        </w:rPr>
        <w:t>ent</w:t>
      </w:r>
      <w:r w:rsidR="001F1F4C">
        <w:rPr>
          <w:rFonts w:ascii="Comic Sans MS" w:eastAsiaTheme="minorHAnsi" w:hAnsi="Comic Sans MS" w:cs="Calibri"/>
          <w:sz w:val="24"/>
          <w:szCs w:val="24"/>
        </w:rPr>
        <w:t xml:space="preserve"> </w:t>
      </w:r>
      <w:r w:rsidR="00FC0677" w:rsidRPr="001F1F4C">
        <w:rPr>
          <w:rFonts w:ascii="Comic Sans MS" w:eastAsiaTheme="minorHAnsi" w:hAnsi="Comic Sans MS" w:cs="Calibri"/>
          <w:sz w:val="24"/>
          <w:szCs w:val="24"/>
        </w:rPr>
        <w:t>environ 49% d</w:t>
      </w:r>
      <w:r w:rsidR="001F1F4C">
        <w:rPr>
          <w:rFonts w:ascii="Comic Sans MS" w:eastAsiaTheme="minorHAnsi" w:hAnsi="Comic Sans MS" w:cs="Calibri"/>
          <w:sz w:val="24"/>
          <w:szCs w:val="24"/>
        </w:rPr>
        <w:t>u besoin d</w:t>
      </w:r>
      <w:r w:rsidR="00FC0677" w:rsidRPr="001F1F4C">
        <w:rPr>
          <w:rFonts w:ascii="Comic Sans MS" w:eastAsiaTheme="minorHAnsi" w:hAnsi="Comic Sans MS" w:cs="Calibri"/>
          <w:sz w:val="24"/>
          <w:szCs w:val="24"/>
        </w:rPr>
        <w:t xml:space="preserve">es ménages </w:t>
      </w:r>
      <w:r w:rsidR="001F1F4C">
        <w:rPr>
          <w:rFonts w:ascii="Comic Sans MS" w:eastAsiaTheme="minorHAnsi" w:hAnsi="Comic Sans MS" w:cs="Calibri"/>
          <w:sz w:val="24"/>
          <w:szCs w:val="24"/>
        </w:rPr>
        <w:t xml:space="preserve">en énergies de cuissons </w:t>
      </w:r>
      <w:r w:rsidR="00FC0677" w:rsidRPr="001F1F4C">
        <w:rPr>
          <w:rFonts w:ascii="Comic Sans MS" w:eastAsiaTheme="minorHAnsi" w:hAnsi="Comic Sans MS" w:cs="Calibri"/>
          <w:sz w:val="24"/>
          <w:szCs w:val="24"/>
        </w:rPr>
        <w:t xml:space="preserve">au niveau national en 2020. </w:t>
      </w:r>
      <w:r w:rsidR="00F076DD" w:rsidRPr="001F1F4C">
        <w:rPr>
          <w:rFonts w:ascii="Comic Sans MS" w:hAnsi="Comic Sans MS" w:cs="Calibri"/>
          <w:sz w:val="24"/>
          <w:szCs w:val="24"/>
        </w:rPr>
        <w:t xml:space="preserve"> </w:t>
      </w:r>
      <w:r w:rsidR="00EE5153" w:rsidRPr="001F1F4C">
        <w:rPr>
          <w:rFonts w:ascii="Comic Sans MS" w:hAnsi="Comic Sans MS" w:cs="Calibri"/>
          <w:sz w:val="24"/>
          <w:szCs w:val="24"/>
        </w:rPr>
        <w:t xml:space="preserve"> </w:t>
      </w:r>
    </w:p>
    <w:p w14:paraId="252DB737" w14:textId="77777777" w:rsidR="00EE5153" w:rsidRPr="001F1F4C" w:rsidRDefault="00EE5153" w:rsidP="00FC737A">
      <w:pPr>
        <w:adjustRightInd w:val="0"/>
        <w:spacing w:before="0"/>
        <w:ind w:left="0" w:firstLine="0"/>
        <w:jc w:val="lowKashida"/>
        <w:rPr>
          <w:rFonts w:ascii="Comic Sans MS" w:eastAsiaTheme="minorHAnsi" w:hAnsi="Comic Sans MS" w:cs="Calibri"/>
          <w:sz w:val="24"/>
          <w:szCs w:val="24"/>
        </w:rPr>
      </w:pPr>
    </w:p>
    <w:p w14:paraId="27F1583C" w14:textId="2F2E2F52" w:rsidR="00077C2E" w:rsidRDefault="00F076DD" w:rsidP="003F75BD">
      <w:pPr>
        <w:adjustRightInd w:val="0"/>
        <w:spacing w:before="0"/>
        <w:ind w:left="0" w:firstLine="0"/>
        <w:jc w:val="lowKashida"/>
        <w:rPr>
          <w:rFonts w:ascii="Comic Sans MS" w:eastAsiaTheme="minorHAnsi" w:hAnsi="Comic Sans MS" w:cs="Calibri"/>
          <w:sz w:val="24"/>
          <w:szCs w:val="24"/>
        </w:rPr>
      </w:pPr>
      <w:r w:rsidRPr="009F25CF">
        <w:rPr>
          <w:rFonts w:ascii="Comic Sans MS" w:eastAsiaTheme="minorHAnsi" w:hAnsi="Comic Sans MS" w:cs="Calibri"/>
          <w:sz w:val="24"/>
          <w:szCs w:val="24"/>
        </w:rPr>
        <w:t>En ce qui concerne, l</w:t>
      </w:r>
      <w:r w:rsidR="00E52B7A">
        <w:rPr>
          <w:rFonts w:ascii="Comic Sans MS" w:eastAsiaTheme="minorHAnsi" w:hAnsi="Comic Sans MS" w:cs="Calibri"/>
          <w:sz w:val="24"/>
          <w:szCs w:val="24"/>
        </w:rPr>
        <w:t>’utilisation des énergies résidentielles de substitution aux combustibles ligneux</w:t>
      </w:r>
      <w:r w:rsidRPr="009F25CF">
        <w:rPr>
          <w:rFonts w:ascii="Comic Sans MS" w:eastAsiaTheme="minorHAnsi" w:hAnsi="Comic Sans MS" w:cs="Calibri"/>
          <w:sz w:val="24"/>
          <w:szCs w:val="24"/>
        </w:rPr>
        <w:t xml:space="preserve">, </w:t>
      </w:r>
      <w:r w:rsidR="00E52B7A">
        <w:rPr>
          <w:rFonts w:ascii="Comic Sans MS" w:eastAsiaTheme="minorHAnsi" w:hAnsi="Comic Sans MS" w:cs="Calibri"/>
          <w:sz w:val="24"/>
          <w:szCs w:val="24"/>
        </w:rPr>
        <w:t xml:space="preserve">le pays a mis </w:t>
      </w:r>
      <w:r w:rsidR="000A7FCA">
        <w:rPr>
          <w:rFonts w:ascii="Comic Sans MS" w:eastAsiaTheme="minorHAnsi" w:hAnsi="Comic Sans MS" w:cs="Calibri"/>
          <w:sz w:val="24"/>
          <w:szCs w:val="24"/>
        </w:rPr>
        <w:t xml:space="preserve">en place </w:t>
      </w:r>
      <w:r w:rsidR="00E52B7A">
        <w:rPr>
          <w:rFonts w:ascii="Comic Sans MS" w:eastAsiaTheme="minorHAnsi" w:hAnsi="Comic Sans MS" w:cs="Calibri"/>
          <w:sz w:val="24"/>
          <w:szCs w:val="24"/>
        </w:rPr>
        <w:t xml:space="preserve">depuis 1987 une politique de </w:t>
      </w:r>
      <w:proofErr w:type="spellStart"/>
      <w:r w:rsidR="00E52B7A">
        <w:rPr>
          <w:rFonts w:ascii="Comic Sans MS" w:eastAsiaTheme="minorHAnsi" w:hAnsi="Comic Sans MS" w:cs="Calibri"/>
          <w:sz w:val="24"/>
          <w:szCs w:val="24"/>
        </w:rPr>
        <w:t>butanisation</w:t>
      </w:r>
      <w:proofErr w:type="spellEnd"/>
      <w:r w:rsidR="00E52B7A">
        <w:rPr>
          <w:rFonts w:ascii="Comic Sans MS" w:eastAsiaTheme="minorHAnsi" w:hAnsi="Comic Sans MS" w:cs="Calibri"/>
          <w:sz w:val="24"/>
          <w:szCs w:val="24"/>
        </w:rPr>
        <w:t xml:space="preserve"> libéral</w:t>
      </w:r>
      <w:r w:rsidR="0078763C">
        <w:rPr>
          <w:rFonts w:ascii="Comic Sans MS" w:eastAsiaTheme="minorHAnsi" w:hAnsi="Comic Sans MS" w:cs="Calibri"/>
          <w:sz w:val="24"/>
          <w:szCs w:val="24"/>
        </w:rPr>
        <w:t>e</w:t>
      </w:r>
      <w:r w:rsidR="00FC737A">
        <w:rPr>
          <w:rFonts w:ascii="Comic Sans MS" w:eastAsiaTheme="minorHAnsi" w:hAnsi="Comic Sans MS" w:cs="Calibri"/>
          <w:sz w:val="24"/>
          <w:szCs w:val="24"/>
        </w:rPr>
        <w:t xml:space="preserve"> </w:t>
      </w:r>
      <w:r w:rsidR="00547D91">
        <w:rPr>
          <w:rFonts w:ascii="Comic Sans MS" w:eastAsiaTheme="minorHAnsi" w:hAnsi="Comic Sans MS" w:cs="Calibri"/>
          <w:sz w:val="24"/>
          <w:szCs w:val="24"/>
        </w:rPr>
        <w:t xml:space="preserve">qui </w:t>
      </w:r>
      <w:r w:rsidR="00FC737A">
        <w:rPr>
          <w:rFonts w:ascii="Comic Sans MS" w:eastAsiaTheme="minorHAnsi" w:hAnsi="Comic Sans MS" w:cs="Calibri"/>
          <w:sz w:val="24"/>
          <w:szCs w:val="24"/>
        </w:rPr>
        <w:t>encourag</w:t>
      </w:r>
      <w:r w:rsidR="003F75BD">
        <w:rPr>
          <w:rFonts w:ascii="Comic Sans MS" w:eastAsiaTheme="minorHAnsi" w:hAnsi="Comic Sans MS" w:cs="Calibri"/>
          <w:sz w:val="24"/>
          <w:szCs w:val="24"/>
        </w:rPr>
        <w:t>e</w:t>
      </w:r>
      <w:r w:rsidR="00FC737A">
        <w:rPr>
          <w:rFonts w:ascii="Comic Sans MS" w:eastAsiaTheme="minorHAnsi" w:hAnsi="Comic Sans MS" w:cs="Calibri"/>
          <w:sz w:val="24"/>
          <w:szCs w:val="24"/>
        </w:rPr>
        <w:t xml:space="preserve"> </w:t>
      </w:r>
      <w:r w:rsidR="00547D91">
        <w:rPr>
          <w:rFonts w:ascii="Comic Sans MS" w:eastAsiaTheme="minorHAnsi" w:hAnsi="Comic Sans MS" w:cs="Calibri"/>
          <w:sz w:val="24"/>
          <w:szCs w:val="24"/>
        </w:rPr>
        <w:t xml:space="preserve">également </w:t>
      </w:r>
      <w:r w:rsidR="00FC737A">
        <w:rPr>
          <w:rFonts w:ascii="Comic Sans MS" w:eastAsiaTheme="minorHAnsi" w:hAnsi="Comic Sans MS" w:cs="Calibri"/>
          <w:sz w:val="24"/>
          <w:szCs w:val="24"/>
        </w:rPr>
        <w:t>l’utilisation des technologies d’efficacité</w:t>
      </w:r>
      <w:r w:rsidR="003F75BD">
        <w:rPr>
          <w:rFonts w:ascii="Comic Sans MS" w:eastAsiaTheme="minorHAnsi" w:hAnsi="Comic Sans MS" w:cs="Calibri"/>
          <w:sz w:val="24"/>
          <w:szCs w:val="24"/>
        </w:rPr>
        <w:t>s</w:t>
      </w:r>
      <w:r w:rsidR="00FC737A">
        <w:rPr>
          <w:rFonts w:ascii="Comic Sans MS" w:eastAsiaTheme="minorHAnsi" w:hAnsi="Comic Sans MS" w:cs="Calibri"/>
          <w:sz w:val="24"/>
          <w:szCs w:val="24"/>
        </w:rPr>
        <w:t xml:space="preserve"> énergétique</w:t>
      </w:r>
      <w:r w:rsidR="003F75BD">
        <w:rPr>
          <w:rFonts w:ascii="Comic Sans MS" w:eastAsiaTheme="minorHAnsi" w:hAnsi="Comic Sans MS" w:cs="Calibri"/>
          <w:sz w:val="24"/>
          <w:szCs w:val="24"/>
        </w:rPr>
        <w:t>s</w:t>
      </w:r>
      <w:r w:rsidR="00FC737A">
        <w:rPr>
          <w:rFonts w:ascii="Comic Sans MS" w:eastAsiaTheme="minorHAnsi" w:hAnsi="Comic Sans MS" w:cs="Calibri"/>
          <w:sz w:val="24"/>
          <w:szCs w:val="24"/>
        </w:rPr>
        <w:t xml:space="preserve"> (foyers améliorés). </w:t>
      </w:r>
      <w:r w:rsidR="003F75BD">
        <w:rPr>
          <w:rFonts w:ascii="Comic Sans MS" w:eastAsiaTheme="minorHAnsi" w:hAnsi="Comic Sans MS" w:cs="Calibri"/>
          <w:sz w:val="24"/>
          <w:szCs w:val="24"/>
        </w:rPr>
        <w:t xml:space="preserve">Les mesures en question </w:t>
      </w:r>
      <w:r w:rsidR="00427B76" w:rsidRPr="009F25CF">
        <w:rPr>
          <w:rFonts w:ascii="Comic Sans MS" w:eastAsiaTheme="minorHAnsi" w:hAnsi="Comic Sans MS" w:cs="Calibri"/>
          <w:sz w:val="24"/>
          <w:szCs w:val="24"/>
        </w:rPr>
        <w:t xml:space="preserve">sont </w:t>
      </w:r>
      <w:r w:rsidR="003F75BD">
        <w:rPr>
          <w:rFonts w:ascii="Comic Sans MS" w:eastAsiaTheme="minorHAnsi" w:hAnsi="Comic Sans MS" w:cs="Calibri"/>
          <w:sz w:val="24"/>
          <w:szCs w:val="24"/>
        </w:rPr>
        <w:t xml:space="preserve">considérées comme </w:t>
      </w:r>
      <w:r w:rsidR="000150F7" w:rsidRPr="009F25CF">
        <w:rPr>
          <w:rFonts w:ascii="Comic Sans MS" w:eastAsiaTheme="minorHAnsi" w:hAnsi="Comic Sans MS" w:cs="Calibri"/>
          <w:sz w:val="24"/>
          <w:szCs w:val="24"/>
        </w:rPr>
        <w:t xml:space="preserve">mesures </w:t>
      </w:r>
      <w:r w:rsidR="00EB1B6E" w:rsidRPr="009F25CF">
        <w:rPr>
          <w:rFonts w:ascii="Comic Sans MS" w:eastAsiaTheme="minorHAnsi" w:hAnsi="Comic Sans MS" w:cs="Calibri"/>
          <w:sz w:val="24"/>
          <w:szCs w:val="24"/>
        </w:rPr>
        <w:t xml:space="preserve">d’atténuation visant la réduction des émissions </w:t>
      </w:r>
      <w:r w:rsidR="00897482" w:rsidRPr="009F25CF">
        <w:rPr>
          <w:rFonts w:ascii="Comic Sans MS" w:eastAsiaTheme="minorHAnsi" w:hAnsi="Comic Sans MS" w:cs="Calibri"/>
          <w:sz w:val="24"/>
          <w:szCs w:val="24"/>
        </w:rPr>
        <w:t xml:space="preserve">à travers la lutte contre la déforestation </w:t>
      </w:r>
      <w:r w:rsidR="00EB1B6E" w:rsidRPr="009F25CF">
        <w:rPr>
          <w:rFonts w:ascii="Comic Sans MS" w:eastAsiaTheme="minorHAnsi" w:hAnsi="Comic Sans MS" w:cs="Calibri"/>
          <w:sz w:val="24"/>
          <w:szCs w:val="24"/>
        </w:rPr>
        <w:t xml:space="preserve">et </w:t>
      </w:r>
      <w:r w:rsidR="00897482" w:rsidRPr="009F25CF">
        <w:rPr>
          <w:rFonts w:ascii="Comic Sans MS" w:eastAsiaTheme="minorHAnsi" w:hAnsi="Comic Sans MS" w:cs="Calibri"/>
          <w:sz w:val="24"/>
          <w:szCs w:val="24"/>
        </w:rPr>
        <w:t>l</w:t>
      </w:r>
      <w:r w:rsidR="00ED09EF" w:rsidRPr="009F25CF">
        <w:rPr>
          <w:rFonts w:ascii="Comic Sans MS" w:eastAsiaTheme="minorHAnsi" w:hAnsi="Comic Sans MS" w:cs="Calibri"/>
          <w:sz w:val="24"/>
          <w:szCs w:val="24"/>
        </w:rPr>
        <w:t xml:space="preserve">a </w:t>
      </w:r>
      <w:r w:rsidR="00FC737A">
        <w:rPr>
          <w:rFonts w:ascii="Comic Sans MS" w:eastAsiaTheme="minorHAnsi" w:hAnsi="Comic Sans MS" w:cs="Calibri"/>
          <w:sz w:val="24"/>
          <w:szCs w:val="24"/>
        </w:rPr>
        <w:t>promotion des énergies peu nocives pour l’environnement</w:t>
      </w:r>
      <w:r w:rsidR="00897482" w:rsidRPr="009F25CF">
        <w:rPr>
          <w:rFonts w:ascii="Comic Sans MS" w:eastAsiaTheme="minorHAnsi" w:hAnsi="Comic Sans MS" w:cs="Calibri"/>
          <w:sz w:val="24"/>
          <w:szCs w:val="24"/>
        </w:rPr>
        <w:t>. A cet effet, l</w:t>
      </w:r>
      <w:r w:rsidR="00EA05E5" w:rsidRPr="009F25CF">
        <w:rPr>
          <w:rFonts w:ascii="Comic Sans MS" w:eastAsiaTheme="minorHAnsi" w:hAnsi="Comic Sans MS" w:cs="Calibri"/>
          <w:sz w:val="24"/>
          <w:szCs w:val="24"/>
        </w:rPr>
        <w:t>e</w:t>
      </w:r>
      <w:r w:rsidR="00897482" w:rsidRPr="009F25CF">
        <w:rPr>
          <w:rFonts w:ascii="Comic Sans MS" w:eastAsiaTheme="minorHAnsi" w:hAnsi="Comic Sans MS" w:cs="Calibri"/>
          <w:sz w:val="24"/>
          <w:szCs w:val="24"/>
        </w:rPr>
        <w:t xml:space="preserve"> calcul </w:t>
      </w:r>
      <w:r w:rsidR="00376BF2" w:rsidRPr="009F25CF">
        <w:rPr>
          <w:rFonts w:ascii="Comic Sans MS" w:eastAsiaTheme="minorHAnsi" w:hAnsi="Comic Sans MS" w:cs="Calibri"/>
          <w:sz w:val="24"/>
          <w:szCs w:val="24"/>
        </w:rPr>
        <w:t xml:space="preserve">des émissions de la situation de référence </w:t>
      </w:r>
      <w:r w:rsidR="00547D91">
        <w:rPr>
          <w:rFonts w:ascii="Comic Sans MS" w:eastAsiaTheme="minorHAnsi" w:hAnsi="Comic Sans MS" w:cs="Calibri"/>
          <w:sz w:val="24"/>
          <w:szCs w:val="24"/>
        </w:rPr>
        <w:t>« </w:t>
      </w:r>
      <w:r w:rsidR="00897482" w:rsidRPr="009F25CF">
        <w:rPr>
          <w:rFonts w:ascii="Comic Sans MS" w:eastAsiaTheme="minorHAnsi" w:hAnsi="Comic Sans MS" w:cs="Calibri"/>
          <w:sz w:val="24"/>
          <w:szCs w:val="24"/>
        </w:rPr>
        <w:t>BAU</w:t>
      </w:r>
      <w:r w:rsidR="00547D91">
        <w:rPr>
          <w:rFonts w:ascii="Comic Sans MS" w:eastAsiaTheme="minorHAnsi" w:hAnsi="Comic Sans MS" w:cs="Calibri"/>
          <w:sz w:val="24"/>
          <w:szCs w:val="24"/>
        </w:rPr>
        <w:t> »</w:t>
      </w:r>
      <w:r w:rsidR="00897482" w:rsidRPr="009F25CF">
        <w:rPr>
          <w:rFonts w:ascii="Comic Sans MS" w:eastAsiaTheme="minorHAnsi" w:hAnsi="Comic Sans MS" w:cs="Calibri"/>
          <w:sz w:val="24"/>
          <w:szCs w:val="24"/>
        </w:rPr>
        <w:t xml:space="preserve"> a</w:t>
      </w:r>
      <w:r w:rsidR="00EA05E5" w:rsidRPr="009F25CF">
        <w:rPr>
          <w:rFonts w:ascii="Comic Sans MS" w:eastAsiaTheme="minorHAnsi" w:hAnsi="Comic Sans MS" w:cs="Calibri"/>
          <w:sz w:val="24"/>
          <w:szCs w:val="24"/>
        </w:rPr>
        <w:t xml:space="preserve"> été basé sur </w:t>
      </w:r>
      <w:r w:rsidR="00BA7572">
        <w:rPr>
          <w:rFonts w:ascii="Comic Sans MS" w:eastAsiaTheme="minorHAnsi" w:hAnsi="Comic Sans MS" w:cs="Calibri"/>
          <w:sz w:val="24"/>
          <w:szCs w:val="24"/>
        </w:rPr>
        <w:t xml:space="preserve">la </w:t>
      </w:r>
      <w:r w:rsidR="00BA7572" w:rsidRPr="00BA7572">
        <w:rPr>
          <w:rFonts w:ascii="Comic Sans MS" w:eastAsiaTheme="minorHAnsi" w:hAnsi="Comic Sans MS" w:cs="Calibri"/>
          <w:sz w:val="24"/>
          <w:szCs w:val="24"/>
        </w:rPr>
        <w:t>réduction de</w:t>
      </w:r>
      <w:r w:rsidR="00BA7572">
        <w:rPr>
          <w:rFonts w:ascii="Comic Sans MS" w:eastAsiaTheme="minorHAnsi" w:hAnsi="Comic Sans MS" w:cs="Calibri"/>
          <w:sz w:val="24"/>
          <w:szCs w:val="24"/>
        </w:rPr>
        <w:t xml:space="preserve"> la quantité des combustibles ligneux (Bois de chauffe et charbon de </w:t>
      </w:r>
      <w:r w:rsidR="00AE7DCC">
        <w:rPr>
          <w:rFonts w:ascii="Comic Sans MS" w:eastAsiaTheme="minorHAnsi" w:hAnsi="Comic Sans MS" w:cs="Calibri"/>
          <w:sz w:val="24"/>
          <w:szCs w:val="24"/>
        </w:rPr>
        <w:t xml:space="preserve">bois) </w:t>
      </w:r>
      <w:r w:rsidR="00AE7DCC" w:rsidRPr="00BA7572">
        <w:rPr>
          <w:rFonts w:ascii="Comic Sans MS" w:eastAsiaTheme="minorHAnsi" w:hAnsi="Comic Sans MS" w:cs="Calibri"/>
          <w:sz w:val="24"/>
          <w:szCs w:val="24"/>
        </w:rPr>
        <w:t>utilisée</w:t>
      </w:r>
      <w:r w:rsidR="00BA7572">
        <w:rPr>
          <w:rFonts w:ascii="Comic Sans MS" w:eastAsiaTheme="minorHAnsi" w:hAnsi="Comic Sans MS" w:cs="Calibri"/>
          <w:sz w:val="24"/>
          <w:szCs w:val="24"/>
        </w:rPr>
        <w:t xml:space="preserve"> comme énergies résidentielles par </w:t>
      </w:r>
      <w:r w:rsidR="00DA3B64">
        <w:rPr>
          <w:rFonts w:ascii="Comic Sans MS" w:eastAsiaTheme="minorHAnsi" w:hAnsi="Comic Sans MS" w:cs="Calibri"/>
          <w:sz w:val="24"/>
          <w:szCs w:val="24"/>
        </w:rPr>
        <w:t xml:space="preserve">la </w:t>
      </w:r>
      <w:r w:rsidR="0090379A" w:rsidRPr="00BA7572">
        <w:rPr>
          <w:rFonts w:ascii="Comic Sans MS" w:eastAsiaTheme="minorHAnsi" w:hAnsi="Comic Sans MS" w:cs="Calibri"/>
          <w:sz w:val="24"/>
          <w:szCs w:val="24"/>
        </w:rPr>
        <w:t xml:space="preserve">diffusion </w:t>
      </w:r>
      <w:r w:rsidR="00BA7572">
        <w:rPr>
          <w:rFonts w:ascii="Comic Sans MS" w:eastAsiaTheme="minorHAnsi" w:hAnsi="Comic Sans MS" w:cs="Calibri"/>
          <w:sz w:val="24"/>
          <w:szCs w:val="24"/>
        </w:rPr>
        <w:t xml:space="preserve">des foyers améliorés et l’utilisation du gaz butane comme énergie alternative à cette énergie polluante. </w:t>
      </w:r>
      <w:r w:rsidR="00EA05E5" w:rsidRPr="00BA7572">
        <w:rPr>
          <w:rFonts w:ascii="Comic Sans MS" w:eastAsiaTheme="minorHAnsi" w:hAnsi="Comic Sans MS" w:cs="Calibri"/>
          <w:sz w:val="24"/>
          <w:szCs w:val="24"/>
        </w:rPr>
        <w:t> </w:t>
      </w:r>
    </w:p>
    <w:p w14:paraId="6A0D90BB" w14:textId="77777777" w:rsidR="00547D91" w:rsidRPr="00BA7572" w:rsidRDefault="00547D91" w:rsidP="003F75BD">
      <w:pPr>
        <w:adjustRightInd w:val="0"/>
        <w:spacing w:before="0"/>
        <w:ind w:left="0" w:firstLine="0"/>
        <w:jc w:val="lowKashida"/>
        <w:rPr>
          <w:rFonts w:ascii="Comic Sans MS" w:eastAsiaTheme="minorHAnsi" w:hAnsi="Comic Sans MS" w:cs="Calibri"/>
          <w:sz w:val="24"/>
          <w:szCs w:val="24"/>
        </w:rPr>
      </w:pPr>
    </w:p>
    <w:p w14:paraId="21D52946" w14:textId="32314937" w:rsidR="00FE6905" w:rsidRPr="009F25CF" w:rsidRDefault="00EE5153">
      <w:pPr>
        <w:pStyle w:val="Titre1"/>
        <w:numPr>
          <w:ilvl w:val="0"/>
          <w:numId w:val="12"/>
        </w:numPr>
        <w:bidi w:val="0"/>
        <w:spacing w:before="0"/>
        <w:ind w:left="993" w:hanging="993"/>
        <w:jc w:val="left"/>
        <w:rPr>
          <w:rFonts w:ascii="Comic Sans MS" w:hAnsi="Comic Sans MS" w:cstheme="minorHAnsi"/>
          <w:sz w:val="24"/>
          <w:szCs w:val="24"/>
          <w:lang w:val="fr-FR"/>
        </w:rPr>
      </w:pPr>
      <w:bookmarkStart w:id="27" w:name="_Toc166937621"/>
      <w:r w:rsidRPr="009F25CF">
        <w:rPr>
          <w:rFonts w:ascii="Comic Sans MS" w:hAnsi="Comic Sans MS" w:cstheme="minorHAnsi"/>
          <w:sz w:val="24"/>
          <w:szCs w:val="24"/>
          <w:lang w:val="fr-FR"/>
        </w:rPr>
        <w:t>M</w:t>
      </w:r>
      <w:r w:rsidR="00FE6905" w:rsidRPr="009F25CF">
        <w:rPr>
          <w:rFonts w:ascii="Comic Sans MS" w:hAnsi="Comic Sans MS" w:cstheme="minorHAnsi"/>
          <w:sz w:val="24"/>
          <w:szCs w:val="24"/>
          <w:lang w:val="fr-FR"/>
        </w:rPr>
        <w:t xml:space="preserve">esures visant à atténuer les émissions de GES </w:t>
      </w:r>
      <w:r w:rsidRPr="009F25CF">
        <w:rPr>
          <w:rFonts w:ascii="Comic Sans MS" w:hAnsi="Comic Sans MS" w:cstheme="minorHAnsi"/>
          <w:sz w:val="24"/>
          <w:szCs w:val="24"/>
          <w:lang w:val="fr-FR"/>
        </w:rPr>
        <w:t xml:space="preserve">du sous-secteur </w:t>
      </w:r>
      <w:r w:rsidR="00DA3B64">
        <w:rPr>
          <w:rFonts w:ascii="Comic Sans MS" w:hAnsi="Comic Sans MS" w:cstheme="minorHAnsi"/>
          <w:sz w:val="24"/>
          <w:szCs w:val="24"/>
          <w:lang w:val="fr-FR"/>
        </w:rPr>
        <w:t>énergies résidentielle</w:t>
      </w:r>
      <w:r w:rsidRPr="009F25CF">
        <w:rPr>
          <w:rFonts w:ascii="Comic Sans MS" w:hAnsi="Comic Sans MS" w:cstheme="minorHAnsi"/>
          <w:sz w:val="24"/>
          <w:szCs w:val="24"/>
          <w:lang w:val="fr-FR"/>
        </w:rPr>
        <w:t xml:space="preserve"> </w:t>
      </w:r>
      <w:r w:rsidR="00FE6905" w:rsidRPr="009F25CF">
        <w:rPr>
          <w:rFonts w:ascii="Comic Sans MS" w:hAnsi="Comic Sans MS" w:cstheme="minorHAnsi"/>
          <w:sz w:val="24"/>
          <w:szCs w:val="24"/>
          <w:lang w:val="fr-FR"/>
        </w:rPr>
        <w:t>à l’horizon 2030</w:t>
      </w:r>
      <w:bookmarkEnd w:id="27"/>
    </w:p>
    <w:p w14:paraId="35D644A6" w14:textId="6EA76DB3" w:rsidR="00B60580" w:rsidRPr="009F25CF" w:rsidRDefault="00B60580" w:rsidP="00B60580">
      <w:pPr>
        <w:spacing w:before="0"/>
        <w:ind w:left="0" w:firstLine="0"/>
        <w:rPr>
          <w:rFonts w:ascii="Comic Sans MS" w:hAnsi="Comic Sans MS" w:cstheme="minorHAnsi"/>
          <w:sz w:val="24"/>
          <w:szCs w:val="24"/>
        </w:rPr>
      </w:pPr>
      <w:r w:rsidRPr="009F25CF">
        <w:rPr>
          <w:rFonts w:ascii="Comic Sans MS" w:hAnsi="Comic Sans MS" w:cstheme="minorHAnsi"/>
          <w:sz w:val="24"/>
          <w:szCs w:val="24"/>
        </w:rPr>
        <w:t>L’analyse d</w:t>
      </w:r>
      <w:r w:rsidR="00EA3BC0">
        <w:rPr>
          <w:rFonts w:ascii="Comic Sans MS" w:hAnsi="Comic Sans MS" w:cstheme="minorHAnsi"/>
          <w:sz w:val="24"/>
          <w:szCs w:val="24"/>
        </w:rPr>
        <w:t>e l</w:t>
      </w:r>
      <w:r w:rsidR="003734FD" w:rsidRPr="009F25CF">
        <w:rPr>
          <w:rFonts w:ascii="Comic Sans MS" w:hAnsi="Comic Sans MS" w:cstheme="minorHAnsi"/>
          <w:sz w:val="24"/>
          <w:szCs w:val="24"/>
        </w:rPr>
        <w:t>’état actuelle, 2024, d</w:t>
      </w:r>
      <w:r w:rsidR="00EA3BC0">
        <w:rPr>
          <w:rFonts w:ascii="Comic Sans MS" w:hAnsi="Comic Sans MS" w:cstheme="minorHAnsi"/>
          <w:sz w:val="24"/>
          <w:szCs w:val="24"/>
        </w:rPr>
        <w:t>e la consommation</w:t>
      </w:r>
      <w:r w:rsidR="005C469D">
        <w:rPr>
          <w:rFonts w:ascii="Comic Sans MS" w:hAnsi="Comic Sans MS" w:cstheme="minorHAnsi"/>
          <w:sz w:val="24"/>
          <w:szCs w:val="24"/>
        </w:rPr>
        <w:t xml:space="preserve"> </w:t>
      </w:r>
      <w:r w:rsidR="00EA3BC0">
        <w:rPr>
          <w:rFonts w:ascii="Comic Sans MS" w:hAnsi="Comic Sans MS" w:cstheme="minorHAnsi"/>
          <w:sz w:val="24"/>
          <w:szCs w:val="24"/>
        </w:rPr>
        <w:t xml:space="preserve">des énergies résidentielles </w:t>
      </w:r>
      <w:r w:rsidR="003734FD" w:rsidRPr="009F25CF">
        <w:rPr>
          <w:rFonts w:ascii="Comic Sans MS" w:hAnsi="Comic Sans MS" w:cstheme="minorHAnsi"/>
          <w:sz w:val="24"/>
          <w:szCs w:val="24"/>
        </w:rPr>
        <w:t xml:space="preserve">a démontré </w:t>
      </w:r>
      <w:r w:rsidR="00EA3BC0">
        <w:rPr>
          <w:rFonts w:ascii="Comic Sans MS" w:hAnsi="Comic Sans MS" w:cstheme="minorHAnsi"/>
          <w:sz w:val="24"/>
          <w:szCs w:val="24"/>
        </w:rPr>
        <w:t>que la gaz butane est la première source d</w:t>
      </w:r>
      <w:r w:rsidR="0042442F">
        <w:rPr>
          <w:rFonts w:ascii="Comic Sans MS" w:hAnsi="Comic Sans MS" w:cstheme="minorHAnsi"/>
          <w:sz w:val="24"/>
          <w:szCs w:val="24"/>
        </w:rPr>
        <w:t xml:space="preserve">es </w:t>
      </w:r>
      <w:r w:rsidR="00EA3BC0">
        <w:rPr>
          <w:rFonts w:ascii="Comic Sans MS" w:hAnsi="Comic Sans MS" w:cstheme="minorHAnsi"/>
          <w:sz w:val="24"/>
          <w:szCs w:val="24"/>
        </w:rPr>
        <w:t>énergies domestiques utilisées par les ménages au niveau national. Cette situation permettra sans nul doute la réduction de la déforestation occasionnée par la consommation des combustibles ligneux.</w:t>
      </w:r>
    </w:p>
    <w:p w14:paraId="781452DE" w14:textId="77777777" w:rsidR="00B60580" w:rsidRPr="009F25CF" w:rsidRDefault="00B60580" w:rsidP="00B60580">
      <w:pPr>
        <w:spacing w:before="0"/>
        <w:ind w:left="0" w:firstLine="0"/>
        <w:rPr>
          <w:rFonts w:ascii="Comic Sans MS" w:hAnsi="Comic Sans MS" w:cstheme="minorHAnsi"/>
          <w:sz w:val="24"/>
          <w:szCs w:val="24"/>
        </w:rPr>
      </w:pPr>
    </w:p>
    <w:p w14:paraId="78A30041" w14:textId="173DEA6D" w:rsidR="00B60580" w:rsidRPr="009F25CF" w:rsidRDefault="005505A5" w:rsidP="003734FD">
      <w:pPr>
        <w:spacing w:before="0" w:after="120"/>
        <w:ind w:left="0" w:firstLine="0"/>
        <w:rPr>
          <w:rFonts w:ascii="Comic Sans MS" w:eastAsiaTheme="minorHAnsi" w:hAnsi="Comic Sans MS" w:cstheme="minorHAnsi"/>
          <w:sz w:val="24"/>
          <w:szCs w:val="24"/>
        </w:rPr>
      </w:pPr>
      <w:r>
        <w:rPr>
          <w:rFonts w:ascii="Comic Sans MS" w:hAnsi="Comic Sans MS" w:cstheme="minorHAnsi"/>
          <w:sz w:val="24"/>
          <w:szCs w:val="24"/>
        </w:rPr>
        <w:t>Dans la vision futur de stopper la déforestation à travers la rédu</w:t>
      </w:r>
      <w:r w:rsidR="0042442F">
        <w:rPr>
          <w:rFonts w:ascii="Comic Sans MS" w:hAnsi="Comic Sans MS" w:cstheme="minorHAnsi"/>
          <w:sz w:val="24"/>
          <w:szCs w:val="24"/>
        </w:rPr>
        <w:t xml:space="preserve">ction </w:t>
      </w:r>
      <w:r>
        <w:rPr>
          <w:rFonts w:ascii="Comic Sans MS" w:hAnsi="Comic Sans MS" w:cstheme="minorHAnsi"/>
          <w:sz w:val="24"/>
          <w:szCs w:val="24"/>
        </w:rPr>
        <w:t xml:space="preserve">au maximum possible </w:t>
      </w:r>
      <w:r w:rsidR="0042442F">
        <w:rPr>
          <w:rFonts w:ascii="Comic Sans MS" w:hAnsi="Comic Sans MS" w:cstheme="minorHAnsi"/>
          <w:sz w:val="24"/>
          <w:szCs w:val="24"/>
        </w:rPr>
        <w:t xml:space="preserve">de </w:t>
      </w:r>
      <w:r>
        <w:rPr>
          <w:rFonts w:ascii="Comic Sans MS" w:hAnsi="Comic Sans MS" w:cstheme="minorHAnsi"/>
          <w:sz w:val="24"/>
          <w:szCs w:val="24"/>
        </w:rPr>
        <w:t xml:space="preserve">l’utilisation des combustibles ligneux, </w:t>
      </w:r>
      <w:r w:rsidR="00B60580" w:rsidRPr="009F25CF">
        <w:rPr>
          <w:rFonts w:ascii="Comic Sans MS" w:eastAsiaTheme="minorHAnsi" w:hAnsi="Comic Sans MS" w:cstheme="minorHAnsi"/>
          <w:sz w:val="24"/>
          <w:szCs w:val="24"/>
        </w:rPr>
        <w:t xml:space="preserve">il est </w:t>
      </w:r>
      <w:r w:rsidR="003734FD" w:rsidRPr="009F25CF">
        <w:rPr>
          <w:rFonts w:ascii="Comic Sans MS" w:eastAsiaTheme="minorHAnsi" w:hAnsi="Comic Sans MS" w:cstheme="minorHAnsi"/>
          <w:sz w:val="24"/>
          <w:szCs w:val="24"/>
        </w:rPr>
        <w:t xml:space="preserve">impératif </w:t>
      </w:r>
      <w:r w:rsidR="002B2F40" w:rsidRPr="009F25CF">
        <w:rPr>
          <w:rFonts w:ascii="Comic Sans MS" w:eastAsiaTheme="minorHAnsi" w:hAnsi="Comic Sans MS" w:cstheme="minorHAnsi"/>
          <w:sz w:val="24"/>
          <w:szCs w:val="24"/>
        </w:rPr>
        <w:t xml:space="preserve">que le pays </w:t>
      </w:r>
      <w:r w:rsidR="003734FD" w:rsidRPr="009F25CF">
        <w:rPr>
          <w:rFonts w:ascii="Comic Sans MS" w:eastAsiaTheme="minorHAnsi" w:hAnsi="Comic Sans MS" w:cstheme="minorHAnsi"/>
          <w:sz w:val="24"/>
          <w:szCs w:val="24"/>
        </w:rPr>
        <w:t>mett</w:t>
      </w:r>
      <w:r w:rsidR="002B2F40" w:rsidRPr="009F25CF">
        <w:rPr>
          <w:rFonts w:ascii="Comic Sans MS" w:eastAsiaTheme="minorHAnsi" w:hAnsi="Comic Sans MS" w:cstheme="minorHAnsi"/>
          <w:sz w:val="24"/>
          <w:szCs w:val="24"/>
        </w:rPr>
        <w:t xml:space="preserve">e </w:t>
      </w:r>
      <w:r w:rsidR="003734FD" w:rsidRPr="009F25CF">
        <w:rPr>
          <w:rFonts w:ascii="Comic Sans MS" w:eastAsiaTheme="minorHAnsi" w:hAnsi="Comic Sans MS" w:cstheme="minorHAnsi"/>
          <w:sz w:val="24"/>
          <w:szCs w:val="24"/>
        </w:rPr>
        <w:t xml:space="preserve">en </w:t>
      </w:r>
      <w:r w:rsidR="002B2F40" w:rsidRPr="009F25CF">
        <w:rPr>
          <w:rFonts w:ascii="Comic Sans MS" w:eastAsiaTheme="minorHAnsi" w:hAnsi="Comic Sans MS" w:cstheme="minorHAnsi"/>
          <w:sz w:val="24"/>
          <w:szCs w:val="24"/>
        </w:rPr>
        <w:t xml:space="preserve">œuvre </w:t>
      </w:r>
      <w:r w:rsidR="0042442F">
        <w:rPr>
          <w:rFonts w:ascii="Comic Sans MS" w:eastAsiaTheme="minorHAnsi" w:hAnsi="Comic Sans MS" w:cstheme="minorHAnsi"/>
          <w:sz w:val="24"/>
          <w:szCs w:val="24"/>
        </w:rPr>
        <w:t>l</w:t>
      </w:r>
      <w:r w:rsidR="003734FD" w:rsidRPr="009F25CF">
        <w:rPr>
          <w:rFonts w:ascii="Comic Sans MS" w:eastAsiaTheme="minorHAnsi" w:hAnsi="Comic Sans MS" w:cstheme="minorHAnsi"/>
          <w:sz w:val="24"/>
          <w:szCs w:val="24"/>
        </w:rPr>
        <w:t xml:space="preserve">es nouvelles mesures d’atténuation des GES </w:t>
      </w:r>
      <w:r>
        <w:rPr>
          <w:rFonts w:ascii="Comic Sans MS" w:eastAsiaTheme="minorHAnsi" w:hAnsi="Comic Sans MS" w:cstheme="minorHAnsi"/>
          <w:sz w:val="24"/>
          <w:szCs w:val="24"/>
        </w:rPr>
        <w:t xml:space="preserve">ci-après </w:t>
      </w:r>
      <w:r w:rsidR="00B60580" w:rsidRPr="009F25CF">
        <w:rPr>
          <w:rFonts w:ascii="Comic Sans MS" w:eastAsiaTheme="minorHAnsi" w:hAnsi="Comic Sans MS" w:cstheme="minorHAnsi"/>
          <w:sz w:val="24"/>
          <w:szCs w:val="24"/>
        </w:rPr>
        <w:t>:</w:t>
      </w:r>
    </w:p>
    <w:p w14:paraId="608097CB" w14:textId="23239CF5" w:rsidR="00B60580" w:rsidRPr="00AF0853" w:rsidRDefault="002E248F">
      <w:pPr>
        <w:pStyle w:val="Paragraphedeliste"/>
        <w:numPr>
          <w:ilvl w:val="0"/>
          <w:numId w:val="13"/>
        </w:numPr>
        <w:autoSpaceDE w:val="0"/>
        <w:autoSpaceDN w:val="0"/>
        <w:adjustRightInd w:val="0"/>
        <w:spacing w:before="0" w:after="120"/>
        <w:contextualSpacing w:val="0"/>
        <w:rPr>
          <w:rFonts w:ascii="Comic Sans MS" w:eastAsiaTheme="minorHAnsi" w:hAnsi="Comic Sans MS" w:cstheme="minorHAnsi"/>
        </w:rPr>
      </w:pPr>
      <w:r>
        <w:rPr>
          <w:rFonts w:ascii="Comic Sans MS" w:eastAsia="Calibri" w:hAnsi="Comic Sans MS" w:cstheme="minorHAnsi"/>
        </w:rPr>
        <w:t>la promotion de l’utilisation des unités/p</w:t>
      </w:r>
      <w:hyperlink r:id="rId15" w:anchor="j_EEstoves" w:history="1">
        <w:r w:rsidR="00AF0853" w:rsidRPr="00AF0853">
          <w:rPr>
            <w:rFonts w:ascii="Comic Sans MS" w:eastAsia="Calibri" w:hAnsi="Comic Sans MS" w:cstheme="minorHAnsi"/>
          </w:rPr>
          <w:t>oêles à bois</w:t>
        </w:r>
        <w:r>
          <w:rPr>
            <w:rFonts w:ascii="Comic Sans MS" w:eastAsia="Calibri" w:hAnsi="Comic Sans MS" w:cstheme="minorHAnsi"/>
          </w:rPr>
          <w:t xml:space="preserve"> de chauffe et </w:t>
        </w:r>
        <w:r w:rsidR="0042442F">
          <w:rPr>
            <w:rFonts w:ascii="Comic Sans MS" w:eastAsia="Calibri" w:hAnsi="Comic Sans MS" w:cstheme="minorHAnsi"/>
          </w:rPr>
          <w:t xml:space="preserve">à </w:t>
        </w:r>
        <w:r>
          <w:rPr>
            <w:rFonts w:ascii="Comic Sans MS" w:eastAsia="Calibri" w:hAnsi="Comic Sans MS" w:cstheme="minorHAnsi"/>
          </w:rPr>
          <w:t>charbon de bois</w:t>
        </w:r>
        <w:r w:rsidR="00AF0853" w:rsidRPr="00AF0853">
          <w:rPr>
            <w:rFonts w:ascii="Comic Sans MS" w:eastAsia="Calibri" w:hAnsi="Comic Sans MS" w:cstheme="minorHAnsi"/>
          </w:rPr>
          <w:t xml:space="preserve"> efficaces</w:t>
        </w:r>
      </w:hyperlink>
      <w:r w:rsidR="00AF0853" w:rsidRPr="00AF0853">
        <w:rPr>
          <w:rFonts w:ascii="Comic Sans MS" w:eastAsia="Calibri" w:hAnsi="Comic Sans MS" w:cstheme="minorHAnsi"/>
        </w:rPr>
        <w:t xml:space="preserve"> </w:t>
      </w:r>
      <w:r>
        <w:rPr>
          <w:rFonts w:ascii="Comic Sans MS" w:eastAsia="Calibri" w:hAnsi="Comic Sans MS" w:cstheme="minorHAnsi"/>
        </w:rPr>
        <w:t>avec</w:t>
      </w:r>
      <w:r w:rsidR="00AF0853" w:rsidRPr="00AF0853">
        <w:rPr>
          <w:rFonts w:ascii="Comic Sans MS" w:eastAsia="Calibri" w:hAnsi="Comic Sans MS" w:cstheme="minorHAnsi"/>
        </w:rPr>
        <w:t xml:space="preserve"> la diffusion 50.000 foyers améliorés à bois </w:t>
      </w:r>
      <w:r>
        <w:rPr>
          <w:rFonts w:ascii="Comic Sans MS" w:eastAsia="Calibri" w:hAnsi="Comic Sans MS" w:cstheme="minorHAnsi"/>
        </w:rPr>
        <w:t xml:space="preserve">et 150.000 foyers améliorés à charbon de bois </w:t>
      </w:r>
      <w:r w:rsidR="00AF0853" w:rsidRPr="00AF0853">
        <w:rPr>
          <w:rFonts w:ascii="Comic Sans MS" w:eastAsia="Calibri" w:hAnsi="Comic Sans MS" w:cstheme="minorHAnsi"/>
        </w:rPr>
        <w:t>d’ici 2030</w:t>
      </w:r>
      <w:r w:rsidR="00FF3A58">
        <w:rPr>
          <w:rFonts w:ascii="Comic Sans MS" w:eastAsia="Calibri" w:hAnsi="Comic Sans MS" w:cstheme="minorHAnsi"/>
        </w:rPr>
        <w:t>. Il a été projeté qu’environ 20% des ménages au niveau national utilisent des unités à bois/charbon de bois efficaces en 2050</w:t>
      </w:r>
      <w:r w:rsidR="00AF0853" w:rsidRPr="00AF0853">
        <w:rPr>
          <w:rFonts w:ascii="Comic Sans MS" w:eastAsia="Calibri" w:hAnsi="Comic Sans MS" w:cstheme="minorHAnsi"/>
        </w:rPr>
        <w:t> ;</w:t>
      </w:r>
    </w:p>
    <w:p w14:paraId="048A6D73" w14:textId="495BD643" w:rsidR="00EA3BC0" w:rsidRPr="00AF0853" w:rsidRDefault="002E248F">
      <w:pPr>
        <w:pStyle w:val="Paragraphedeliste"/>
        <w:numPr>
          <w:ilvl w:val="0"/>
          <w:numId w:val="13"/>
        </w:numPr>
        <w:spacing w:before="0"/>
        <w:contextualSpacing w:val="0"/>
        <w:rPr>
          <w:rFonts w:ascii="Comic Sans MS" w:eastAsiaTheme="minorHAnsi" w:hAnsi="Comic Sans MS" w:cstheme="minorHAnsi"/>
        </w:rPr>
      </w:pPr>
      <w:r>
        <w:rPr>
          <w:rFonts w:ascii="Comic Sans MS" w:eastAsiaTheme="minorHAnsi" w:hAnsi="Comic Sans MS" w:cstheme="minorHAnsi"/>
        </w:rPr>
        <w:t xml:space="preserve">la promotion des </w:t>
      </w:r>
      <w:r w:rsidR="00EA3BC0" w:rsidRPr="00AF0853">
        <w:rPr>
          <w:rFonts w:ascii="Comic Sans MS" w:eastAsiaTheme="minorHAnsi" w:hAnsi="Comic Sans MS" w:cstheme="minorHAnsi"/>
        </w:rPr>
        <w:t xml:space="preserve">GPL remplaçant </w:t>
      </w:r>
      <w:r>
        <w:rPr>
          <w:rFonts w:ascii="Comic Sans MS" w:eastAsiaTheme="minorHAnsi" w:hAnsi="Comic Sans MS" w:cstheme="minorHAnsi"/>
        </w:rPr>
        <w:t>l’utilisation des combustibles ligneux avec</w:t>
      </w:r>
      <w:r w:rsidR="00EA3BC0" w:rsidRPr="00AF0853">
        <w:rPr>
          <w:rFonts w:ascii="Comic Sans MS" w:eastAsiaTheme="minorHAnsi" w:hAnsi="Comic Sans MS" w:cstheme="minorHAnsi"/>
        </w:rPr>
        <w:t xml:space="preserve"> la diffusion de 170.000 kits </w:t>
      </w:r>
      <w:r>
        <w:rPr>
          <w:rFonts w:ascii="Comic Sans MS" w:eastAsiaTheme="minorHAnsi" w:hAnsi="Comic Sans MS" w:cstheme="minorHAnsi"/>
        </w:rPr>
        <w:t xml:space="preserve">de </w:t>
      </w:r>
      <w:r w:rsidR="00EA3BC0" w:rsidRPr="00AF0853">
        <w:rPr>
          <w:rFonts w:ascii="Comic Sans MS" w:eastAsiaTheme="minorHAnsi" w:hAnsi="Comic Sans MS" w:cstheme="minorHAnsi"/>
        </w:rPr>
        <w:t>gaz butane d’ici 2030</w:t>
      </w:r>
      <w:r w:rsidR="00180271">
        <w:rPr>
          <w:rFonts w:ascii="Comic Sans MS" w:eastAsiaTheme="minorHAnsi" w:hAnsi="Comic Sans MS" w:cstheme="minorHAnsi"/>
        </w:rPr>
        <w:t>.</w:t>
      </w:r>
      <w:r w:rsidR="00FF3A58" w:rsidRPr="00FF3A58">
        <w:rPr>
          <w:rFonts w:ascii="Comic Sans MS" w:eastAsia="Calibri" w:hAnsi="Comic Sans MS" w:cstheme="minorHAnsi"/>
        </w:rPr>
        <w:t xml:space="preserve"> </w:t>
      </w:r>
      <w:r w:rsidR="00FF3A58">
        <w:rPr>
          <w:rFonts w:ascii="Comic Sans MS" w:eastAsia="Calibri" w:hAnsi="Comic Sans MS" w:cstheme="minorHAnsi"/>
        </w:rPr>
        <w:t xml:space="preserve">Il a été projeté qu’environ </w:t>
      </w:r>
      <w:r w:rsidR="00FF3A58">
        <w:rPr>
          <w:rFonts w:ascii="Comic Sans MS" w:eastAsia="Calibri" w:hAnsi="Comic Sans MS" w:cstheme="minorHAnsi"/>
        </w:rPr>
        <w:t>8</w:t>
      </w:r>
      <w:r w:rsidR="00FF3A58">
        <w:rPr>
          <w:rFonts w:ascii="Comic Sans MS" w:eastAsia="Calibri" w:hAnsi="Comic Sans MS" w:cstheme="minorHAnsi"/>
        </w:rPr>
        <w:t xml:space="preserve">0% des ménages au niveau </w:t>
      </w:r>
      <w:r w:rsidR="00FF3A58">
        <w:rPr>
          <w:rFonts w:ascii="Comic Sans MS" w:eastAsia="Calibri" w:hAnsi="Comic Sans MS" w:cstheme="minorHAnsi"/>
        </w:rPr>
        <w:t>national utilisent</w:t>
      </w:r>
      <w:r w:rsidR="00FF3A58">
        <w:rPr>
          <w:rFonts w:ascii="Comic Sans MS" w:eastAsia="Calibri" w:hAnsi="Comic Sans MS" w:cstheme="minorHAnsi"/>
        </w:rPr>
        <w:t xml:space="preserve"> des unités </w:t>
      </w:r>
      <w:r w:rsidR="00FF3A58">
        <w:rPr>
          <w:rFonts w:ascii="Comic Sans MS" w:eastAsia="Calibri" w:hAnsi="Comic Sans MS" w:cstheme="minorHAnsi"/>
        </w:rPr>
        <w:t>de gaz butane e</w:t>
      </w:r>
      <w:r w:rsidR="00FF3A58">
        <w:rPr>
          <w:rFonts w:ascii="Comic Sans MS" w:eastAsia="Calibri" w:hAnsi="Comic Sans MS" w:cstheme="minorHAnsi"/>
        </w:rPr>
        <w:t>n 2050</w:t>
      </w:r>
      <w:r w:rsidR="00FF3A58">
        <w:rPr>
          <w:rFonts w:ascii="Comic Sans MS" w:eastAsia="Calibri" w:hAnsi="Comic Sans MS" w:cstheme="minorHAnsi"/>
        </w:rPr>
        <w:t>.</w:t>
      </w:r>
      <w:r w:rsidR="00FF3A58" w:rsidRPr="00AF0853">
        <w:rPr>
          <w:rFonts w:ascii="Comic Sans MS" w:eastAsia="Calibri" w:hAnsi="Comic Sans MS" w:cstheme="minorHAnsi"/>
        </w:rPr>
        <w:t> </w:t>
      </w:r>
    </w:p>
    <w:p w14:paraId="68912537" w14:textId="6290AB04" w:rsidR="00AD7789" w:rsidRPr="009F25CF" w:rsidRDefault="00AD7789" w:rsidP="00B76C38">
      <w:pPr>
        <w:autoSpaceDE w:val="0"/>
        <w:autoSpaceDN w:val="0"/>
        <w:adjustRightInd w:val="0"/>
        <w:spacing w:before="0"/>
        <w:ind w:left="0" w:firstLine="0"/>
        <w:rPr>
          <w:rFonts w:ascii="Comic Sans MS" w:hAnsi="Comic Sans MS" w:cstheme="minorHAnsi"/>
          <w:sz w:val="24"/>
          <w:szCs w:val="24"/>
        </w:rPr>
      </w:pPr>
    </w:p>
    <w:p w14:paraId="2441CB0C" w14:textId="1D9061E3" w:rsidR="004027BE" w:rsidRPr="009F25CF" w:rsidRDefault="00B60580" w:rsidP="008751A6">
      <w:pPr>
        <w:spacing w:before="0"/>
        <w:ind w:left="0" w:firstLine="0"/>
        <w:rPr>
          <w:rFonts w:ascii="Comic Sans MS" w:eastAsiaTheme="minorHAnsi" w:hAnsi="Comic Sans MS" w:cstheme="minorHAnsi"/>
          <w:sz w:val="24"/>
          <w:szCs w:val="24"/>
        </w:rPr>
      </w:pPr>
      <w:r w:rsidRPr="009F25CF">
        <w:rPr>
          <w:rFonts w:ascii="Comic Sans MS" w:eastAsiaTheme="minorHAnsi" w:hAnsi="Comic Sans MS" w:cstheme="minorHAnsi"/>
          <w:sz w:val="24"/>
          <w:szCs w:val="24"/>
        </w:rPr>
        <w:t>Le scénario avec des mesures atténuations,</w:t>
      </w:r>
      <w:r w:rsidR="00773CF8" w:rsidRPr="009F25CF">
        <w:rPr>
          <w:rFonts w:ascii="Comic Sans MS" w:eastAsiaTheme="minorHAnsi" w:hAnsi="Comic Sans MS" w:cstheme="minorHAnsi"/>
          <w:sz w:val="24"/>
          <w:szCs w:val="24"/>
        </w:rPr>
        <w:t xml:space="preserve"> du présent rapport, </w:t>
      </w:r>
      <w:r w:rsidR="00741B02" w:rsidRPr="009F25CF">
        <w:rPr>
          <w:rFonts w:ascii="Comic Sans MS" w:eastAsiaTheme="minorHAnsi" w:hAnsi="Comic Sans MS" w:cstheme="minorHAnsi"/>
          <w:sz w:val="24"/>
          <w:szCs w:val="24"/>
        </w:rPr>
        <w:t xml:space="preserve">a </w:t>
      </w:r>
      <w:r w:rsidR="00773CF8" w:rsidRPr="009F25CF">
        <w:rPr>
          <w:rFonts w:ascii="Comic Sans MS" w:eastAsiaTheme="minorHAnsi" w:hAnsi="Comic Sans MS" w:cstheme="minorHAnsi"/>
          <w:sz w:val="24"/>
          <w:szCs w:val="24"/>
        </w:rPr>
        <w:t>perm</w:t>
      </w:r>
      <w:r w:rsidR="00741B02" w:rsidRPr="009F25CF">
        <w:rPr>
          <w:rFonts w:ascii="Comic Sans MS" w:eastAsiaTheme="minorHAnsi" w:hAnsi="Comic Sans MS" w:cstheme="minorHAnsi"/>
          <w:sz w:val="24"/>
          <w:szCs w:val="24"/>
        </w:rPr>
        <w:t xml:space="preserve">is </w:t>
      </w:r>
      <w:r w:rsidR="00773CF8" w:rsidRPr="009F25CF">
        <w:rPr>
          <w:rFonts w:ascii="Comic Sans MS" w:eastAsiaTheme="minorHAnsi" w:hAnsi="Comic Sans MS" w:cstheme="minorHAnsi"/>
          <w:sz w:val="24"/>
          <w:szCs w:val="24"/>
        </w:rPr>
        <w:t>d</w:t>
      </w:r>
      <w:r w:rsidR="002E248F">
        <w:rPr>
          <w:rFonts w:ascii="Comic Sans MS" w:eastAsiaTheme="minorHAnsi" w:hAnsi="Comic Sans MS" w:cstheme="minorHAnsi"/>
          <w:sz w:val="24"/>
          <w:szCs w:val="24"/>
        </w:rPr>
        <w:t xml:space="preserve">e </w:t>
      </w:r>
      <w:r w:rsidR="00225AFE" w:rsidRPr="009F25CF">
        <w:rPr>
          <w:rFonts w:ascii="Comic Sans MS" w:eastAsiaTheme="minorHAnsi" w:hAnsi="Comic Sans MS" w:cstheme="minorHAnsi"/>
          <w:sz w:val="24"/>
          <w:szCs w:val="24"/>
        </w:rPr>
        <w:t>calculer</w:t>
      </w:r>
      <w:r w:rsidR="00180271">
        <w:rPr>
          <w:rFonts w:ascii="Comic Sans MS" w:eastAsiaTheme="minorHAnsi" w:hAnsi="Comic Sans MS" w:cstheme="minorHAnsi"/>
          <w:sz w:val="24"/>
          <w:szCs w:val="24"/>
        </w:rPr>
        <w:t>,</w:t>
      </w:r>
      <w:r w:rsidR="00225AFE" w:rsidRPr="009F25CF">
        <w:rPr>
          <w:rFonts w:ascii="Comic Sans MS" w:eastAsiaTheme="minorHAnsi" w:hAnsi="Comic Sans MS" w:cstheme="minorHAnsi"/>
          <w:sz w:val="24"/>
          <w:szCs w:val="24"/>
        </w:rPr>
        <w:t xml:space="preserve"> </w:t>
      </w:r>
      <w:r w:rsidR="00180271" w:rsidRPr="009F25CF">
        <w:rPr>
          <w:rFonts w:ascii="Comic Sans MS" w:eastAsiaTheme="minorHAnsi" w:hAnsi="Comic Sans MS" w:cstheme="minorHAnsi"/>
          <w:sz w:val="24"/>
          <w:szCs w:val="24"/>
        </w:rPr>
        <w:t>avec le modèle GACMO</w:t>
      </w:r>
      <w:r w:rsidR="00180271">
        <w:rPr>
          <w:rFonts w:ascii="Comic Sans MS" w:eastAsiaTheme="minorHAnsi" w:hAnsi="Comic Sans MS" w:cstheme="minorHAnsi"/>
          <w:sz w:val="24"/>
          <w:szCs w:val="24"/>
        </w:rPr>
        <w:t>,</w:t>
      </w:r>
      <w:r w:rsidR="00180271" w:rsidRPr="009F25CF">
        <w:rPr>
          <w:rFonts w:ascii="Comic Sans MS" w:eastAsiaTheme="minorHAnsi" w:hAnsi="Comic Sans MS" w:cstheme="minorHAnsi"/>
          <w:sz w:val="24"/>
          <w:szCs w:val="24"/>
        </w:rPr>
        <w:t xml:space="preserve"> </w:t>
      </w:r>
      <w:r w:rsidR="00773CF8" w:rsidRPr="009F25CF">
        <w:rPr>
          <w:rFonts w:ascii="Comic Sans MS" w:eastAsiaTheme="minorHAnsi" w:hAnsi="Comic Sans MS" w:cstheme="minorHAnsi"/>
          <w:sz w:val="24"/>
          <w:szCs w:val="24"/>
        </w:rPr>
        <w:t>l’état des émissions</w:t>
      </w:r>
      <w:r w:rsidR="00D31BBF" w:rsidRPr="009F25CF">
        <w:rPr>
          <w:rFonts w:ascii="Comic Sans MS" w:eastAsiaTheme="minorHAnsi" w:hAnsi="Comic Sans MS" w:cstheme="minorHAnsi"/>
          <w:sz w:val="24"/>
          <w:szCs w:val="24"/>
        </w:rPr>
        <w:t xml:space="preserve"> des</w:t>
      </w:r>
      <w:r w:rsidR="00773CF8" w:rsidRPr="009F25CF">
        <w:rPr>
          <w:rFonts w:ascii="Comic Sans MS" w:eastAsiaTheme="minorHAnsi" w:hAnsi="Comic Sans MS" w:cstheme="minorHAnsi"/>
          <w:sz w:val="24"/>
          <w:szCs w:val="24"/>
        </w:rPr>
        <w:t xml:space="preserve"> GES </w:t>
      </w:r>
      <w:r w:rsidR="00196BA0" w:rsidRPr="009F25CF">
        <w:rPr>
          <w:rFonts w:ascii="Comic Sans MS" w:eastAsiaTheme="minorHAnsi" w:hAnsi="Comic Sans MS" w:cstheme="minorHAnsi"/>
          <w:sz w:val="24"/>
          <w:szCs w:val="24"/>
        </w:rPr>
        <w:t xml:space="preserve">du sous-secteur </w:t>
      </w:r>
      <w:r w:rsidR="009B0DD1">
        <w:rPr>
          <w:rFonts w:ascii="Comic Sans MS" w:eastAsiaTheme="minorHAnsi" w:hAnsi="Comic Sans MS" w:cstheme="minorHAnsi"/>
          <w:sz w:val="24"/>
          <w:szCs w:val="24"/>
        </w:rPr>
        <w:t>énergies résidentielles</w:t>
      </w:r>
      <w:r w:rsidR="00196BA0" w:rsidRPr="009F25CF">
        <w:rPr>
          <w:rFonts w:ascii="Comic Sans MS" w:eastAsiaTheme="minorHAnsi" w:hAnsi="Comic Sans MS" w:cstheme="minorHAnsi"/>
          <w:sz w:val="24"/>
          <w:szCs w:val="24"/>
        </w:rPr>
        <w:t xml:space="preserve"> </w:t>
      </w:r>
      <w:r w:rsidR="00741B02" w:rsidRPr="009F25CF">
        <w:rPr>
          <w:rFonts w:ascii="Comic Sans MS" w:eastAsiaTheme="minorHAnsi" w:hAnsi="Comic Sans MS" w:cstheme="minorHAnsi"/>
          <w:sz w:val="24"/>
          <w:szCs w:val="24"/>
        </w:rPr>
        <w:t xml:space="preserve">par rapport à la situation de référence </w:t>
      </w:r>
      <w:r w:rsidR="00587FF4">
        <w:rPr>
          <w:rFonts w:ascii="Comic Sans MS" w:eastAsiaTheme="minorHAnsi" w:hAnsi="Comic Sans MS" w:cstheme="minorHAnsi"/>
          <w:sz w:val="24"/>
          <w:szCs w:val="24"/>
        </w:rPr>
        <w:t>« </w:t>
      </w:r>
      <w:r w:rsidR="009B0DD1">
        <w:rPr>
          <w:rFonts w:ascii="Comic Sans MS" w:eastAsiaTheme="minorHAnsi" w:hAnsi="Comic Sans MS" w:cstheme="minorHAnsi"/>
          <w:sz w:val="24"/>
          <w:szCs w:val="24"/>
        </w:rPr>
        <w:t>sans ces</w:t>
      </w:r>
      <w:r w:rsidRPr="009F25CF">
        <w:rPr>
          <w:rFonts w:ascii="Comic Sans MS" w:eastAsiaTheme="minorHAnsi" w:hAnsi="Comic Sans MS" w:cstheme="minorHAnsi"/>
          <w:sz w:val="24"/>
          <w:szCs w:val="24"/>
        </w:rPr>
        <w:t xml:space="preserve"> mesures</w:t>
      </w:r>
      <w:r w:rsidR="00587FF4">
        <w:rPr>
          <w:rFonts w:ascii="Comic Sans MS" w:eastAsiaTheme="minorHAnsi" w:hAnsi="Comic Sans MS" w:cstheme="minorHAnsi"/>
          <w:sz w:val="24"/>
          <w:szCs w:val="24"/>
        </w:rPr>
        <w:t> »</w:t>
      </w:r>
      <w:r w:rsidR="009B0DD1">
        <w:rPr>
          <w:rFonts w:ascii="Comic Sans MS" w:eastAsiaTheme="minorHAnsi" w:hAnsi="Comic Sans MS" w:cstheme="minorHAnsi"/>
          <w:sz w:val="24"/>
          <w:szCs w:val="24"/>
        </w:rPr>
        <w:t>.</w:t>
      </w:r>
      <w:r w:rsidR="00835FC3" w:rsidRPr="009F25CF">
        <w:rPr>
          <w:rFonts w:ascii="Comic Sans MS" w:eastAsiaTheme="minorHAnsi" w:hAnsi="Comic Sans MS" w:cstheme="minorHAnsi"/>
          <w:sz w:val="24"/>
          <w:szCs w:val="24"/>
        </w:rPr>
        <w:t xml:space="preserve"> </w:t>
      </w:r>
      <w:r w:rsidR="00C209D4" w:rsidRPr="009F25CF">
        <w:rPr>
          <w:rFonts w:ascii="Comic Sans MS" w:hAnsi="Comic Sans MS" w:cs="Calibri"/>
          <w:sz w:val="24"/>
          <w:szCs w:val="24"/>
        </w:rPr>
        <w:t>A l’aide</w:t>
      </w:r>
      <w:r w:rsidR="004027BE" w:rsidRPr="009F25CF">
        <w:rPr>
          <w:rFonts w:ascii="Comic Sans MS" w:hAnsi="Comic Sans MS" w:cs="Calibri"/>
          <w:sz w:val="24"/>
          <w:szCs w:val="24"/>
        </w:rPr>
        <w:t xml:space="preserve"> des facteurs </w:t>
      </w:r>
      <w:r w:rsidR="00C209D4" w:rsidRPr="009F25CF">
        <w:rPr>
          <w:rFonts w:ascii="Comic Sans MS" w:hAnsi="Comic Sans MS" w:cs="Calibri"/>
          <w:sz w:val="24"/>
          <w:szCs w:val="24"/>
        </w:rPr>
        <w:t xml:space="preserve">par </w:t>
      </w:r>
      <w:r w:rsidR="00D31BBF" w:rsidRPr="009F25CF">
        <w:rPr>
          <w:rFonts w:ascii="Comic Sans MS" w:hAnsi="Comic Sans MS" w:cs="Calibri"/>
          <w:sz w:val="24"/>
          <w:szCs w:val="24"/>
        </w:rPr>
        <w:t>défaut,</w:t>
      </w:r>
      <w:r w:rsidR="004027BE" w:rsidRPr="009F25CF">
        <w:rPr>
          <w:rFonts w:ascii="Comic Sans MS" w:hAnsi="Comic Sans MS" w:cs="Calibri"/>
          <w:sz w:val="24"/>
          <w:szCs w:val="24"/>
        </w:rPr>
        <w:t xml:space="preserve"> </w:t>
      </w:r>
      <w:r w:rsidR="00D31BBF" w:rsidRPr="009F25CF">
        <w:rPr>
          <w:rFonts w:ascii="Comic Sans MS" w:hAnsi="Comic Sans MS" w:cs="Calibri"/>
          <w:sz w:val="24"/>
          <w:szCs w:val="24"/>
        </w:rPr>
        <w:t xml:space="preserve">du </w:t>
      </w:r>
      <w:r w:rsidR="004027BE" w:rsidRPr="009F25CF">
        <w:rPr>
          <w:rFonts w:ascii="Comic Sans MS" w:hAnsi="Comic Sans MS" w:cs="Calibri"/>
          <w:sz w:val="24"/>
          <w:szCs w:val="24"/>
        </w:rPr>
        <w:t>GACMO</w:t>
      </w:r>
      <w:r w:rsidR="00D31BBF" w:rsidRPr="009F25CF">
        <w:rPr>
          <w:rFonts w:ascii="Comic Sans MS" w:hAnsi="Comic Sans MS" w:cs="Calibri"/>
          <w:sz w:val="24"/>
          <w:szCs w:val="24"/>
        </w:rPr>
        <w:t xml:space="preserve">, les bilans des émissions </w:t>
      </w:r>
      <w:r w:rsidR="00447267" w:rsidRPr="009F25CF">
        <w:rPr>
          <w:rFonts w:ascii="Comic Sans MS" w:hAnsi="Comic Sans MS" w:cs="Calibri"/>
          <w:sz w:val="24"/>
          <w:szCs w:val="24"/>
        </w:rPr>
        <w:t xml:space="preserve">du sous-secteur </w:t>
      </w:r>
      <w:r w:rsidR="00D31BBF" w:rsidRPr="009F25CF">
        <w:rPr>
          <w:rFonts w:ascii="Comic Sans MS" w:hAnsi="Comic Sans MS" w:cs="Calibri"/>
          <w:sz w:val="24"/>
          <w:szCs w:val="24"/>
        </w:rPr>
        <w:t xml:space="preserve">ont été calculés </w:t>
      </w:r>
      <w:r w:rsidR="004027BE" w:rsidRPr="009F25CF">
        <w:rPr>
          <w:rFonts w:ascii="Comic Sans MS" w:hAnsi="Comic Sans MS" w:cs="Calibri"/>
          <w:sz w:val="24"/>
          <w:szCs w:val="24"/>
        </w:rPr>
        <w:t xml:space="preserve">pour </w:t>
      </w:r>
      <w:r w:rsidR="00587FF4">
        <w:rPr>
          <w:rFonts w:ascii="Comic Sans MS" w:hAnsi="Comic Sans MS" w:cs="Calibri"/>
          <w:sz w:val="24"/>
          <w:szCs w:val="24"/>
        </w:rPr>
        <w:t xml:space="preserve">les </w:t>
      </w:r>
      <w:r w:rsidR="004027BE" w:rsidRPr="009F25CF">
        <w:rPr>
          <w:rFonts w:ascii="Comic Sans MS" w:hAnsi="Comic Sans MS" w:cs="Calibri"/>
          <w:sz w:val="24"/>
          <w:szCs w:val="24"/>
        </w:rPr>
        <w:t xml:space="preserve">2025, </w:t>
      </w:r>
      <w:r w:rsidR="004027BE" w:rsidRPr="009F25CF">
        <w:rPr>
          <w:rFonts w:ascii="Comic Sans MS" w:eastAsiaTheme="minorHAnsi" w:hAnsi="Comic Sans MS" w:cstheme="minorHAnsi"/>
          <w:sz w:val="24"/>
          <w:szCs w:val="24"/>
        </w:rPr>
        <w:t>2030, 2035 et 2050</w:t>
      </w:r>
      <w:r w:rsidR="00D31BBF" w:rsidRPr="009F25CF">
        <w:rPr>
          <w:rFonts w:ascii="Comic Sans MS" w:eastAsiaTheme="minorHAnsi" w:hAnsi="Comic Sans MS" w:cstheme="minorHAnsi"/>
          <w:sz w:val="24"/>
          <w:szCs w:val="24"/>
        </w:rPr>
        <w:t xml:space="preserve">. </w:t>
      </w:r>
      <w:r w:rsidR="0016730A" w:rsidRPr="009F25CF">
        <w:rPr>
          <w:rFonts w:ascii="Comic Sans MS" w:eastAsiaTheme="minorHAnsi" w:hAnsi="Comic Sans MS" w:cstheme="minorHAnsi"/>
          <w:sz w:val="24"/>
          <w:szCs w:val="24"/>
        </w:rPr>
        <w:t xml:space="preserve">Les </w:t>
      </w:r>
      <w:r w:rsidR="004027BE" w:rsidRPr="009F25CF">
        <w:rPr>
          <w:rFonts w:ascii="Comic Sans MS" w:eastAsiaTheme="minorHAnsi" w:hAnsi="Comic Sans MS" w:cstheme="minorHAnsi"/>
          <w:sz w:val="24"/>
          <w:szCs w:val="24"/>
        </w:rPr>
        <w:t xml:space="preserve">résultats </w:t>
      </w:r>
      <w:r w:rsidR="00180271">
        <w:rPr>
          <w:rFonts w:ascii="Comic Sans MS" w:eastAsiaTheme="minorHAnsi" w:hAnsi="Comic Sans MS" w:cstheme="minorHAnsi"/>
          <w:sz w:val="24"/>
          <w:szCs w:val="24"/>
        </w:rPr>
        <w:t xml:space="preserve">ont été produits </w:t>
      </w:r>
      <w:r w:rsidR="0016730A" w:rsidRPr="009F25CF">
        <w:rPr>
          <w:rFonts w:ascii="Comic Sans MS" w:eastAsiaTheme="minorHAnsi" w:hAnsi="Comic Sans MS" w:cstheme="minorHAnsi"/>
          <w:sz w:val="24"/>
          <w:szCs w:val="24"/>
        </w:rPr>
        <w:t>sous fromes des courbes et des tableaux</w:t>
      </w:r>
      <w:r w:rsidR="00084958">
        <w:rPr>
          <w:rFonts w:ascii="Comic Sans MS" w:eastAsiaTheme="minorHAnsi" w:hAnsi="Comic Sans MS" w:cstheme="minorHAnsi"/>
          <w:sz w:val="24"/>
          <w:szCs w:val="24"/>
        </w:rPr>
        <w:t xml:space="preserve"> représentant </w:t>
      </w:r>
      <w:r w:rsidR="004027BE" w:rsidRPr="009F25CF">
        <w:rPr>
          <w:rFonts w:ascii="Comic Sans MS" w:eastAsiaTheme="minorHAnsi" w:hAnsi="Comic Sans MS" w:cstheme="minorHAnsi"/>
          <w:sz w:val="24"/>
          <w:szCs w:val="24"/>
        </w:rPr>
        <w:t>l'investissement, les coûts annuels</w:t>
      </w:r>
      <w:r w:rsidR="00587FF4">
        <w:rPr>
          <w:rFonts w:ascii="Comic Sans MS" w:eastAsiaTheme="minorHAnsi" w:hAnsi="Comic Sans MS" w:cstheme="minorHAnsi"/>
          <w:sz w:val="24"/>
          <w:szCs w:val="24"/>
        </w:rPr>
        <w:t xml:space="preserve"> et </w:t>
      </w:r>
      <w:r w:rsidR="004027BE" w:rsidRPr="009F25CF">
        <w:rPr>
          <w:rFonts w:ascii="Comic Sans MS" w:eastAsiaTheme="minorHAnsi" w:hAnsi="Comic Sans MS" w:cstheme="minorHAnsi"/>
          <w:sz w:val="24"/>
          <w:szCs w:val="24"/>
        </w:rPr>
        <w:t xml:space="preserve">la réduction totale des GES </w:t>
      </w:r>
      <w:r w:rsidR="00BE6DB5" w:rsidRPr="009F25CF">
        <w:rPr>
          <w:rFonts w:ascii="Comic Sans MS" w:eastAsiaTheme="minorHAnsi" w:hAnsi="Comic Sans MS" w:cstheme="minorHAnsi"/>
          <w:sz w:val="24"/>
          <w:szCs w:val="24"/>
        </w:rPr>
        <w:t xml:space="preserve">par rapport à celui du scénario de référence </w:t>
      </w:r>
      <w:r w:rsidR="00587FF4">
        <w:rPr>
          <w:rFonts w:ascii="Comic Sans MS" w:eastAsiaTheme="minorHAnsi" w:hAnsi="Comic Sans MS" w:cstheme="minorHAnsi"/>
          <w:sz w:val="24"/>
          <w:szCs w:val="24"/>
        </w:rPr>
        <w:t>« </w:t>
      </w:r>
      <w:r w:rsidR="004027BE" w:rsidRPr="009F25CF">
        <w:rPr>
          <w:rFonts w:ascii="Comic Sans MS" w:eastAsiaTheme="minorHAnsi" w:hAnsi="Comic Sans MS" w:cstheme="minorHAnsi"/>
          <w:sz w:val="24"/>
          <w:szCs w:val="24"/>
        </w:rPr>
        <w:t>BAU</w:t>
      </w:r>
      <w:r w:rsidR="00587FF4">
        <w:rPr>
          <w:rFonts w:ascii="Comic Sans MS" w:eastAsiaTheme="minorHAnsi" w:hAnsi="Comic Sans MS" w:cstheme="minorHAnsi"/>
          <w:sz w:val="24"/>
          <w:szCs w:val="24"/>
        </w:rPr>
        <w:t> »</w:t>
      </w:r>
      <w:r w:rsidR="004027BE" w:rsidRPr="009F25CF">
        <w:rPr>
          <w:rFonts w:ascii="Comic Sans MS" w:eastAsiaTheme="minorHAnsi" w:hAnsi="Comic Sans MS" w:cstheme="minorHAnsi"/>
          <w:sz w:val="24"/>
          <w:szCs w:val="24"/>
        </w:rPr>
        <w:t>.</w:t>
      </w:r>
    </w:p>
    <w:p w14:paraId="4EF8D314" w14:textId="77777777" w:rsidR="00DB6978" w:rsidRPr="009F25CF" w:rsidRDefault="00DB6978" w:rsidP="008751A6">
      <w:pPr>
        <w:spacing w:before="0"/>
        <w:rPr>
          <w:rFonts w:ascii="Comic Sans MS" w:hAnsi="Comic Sans MS"/>
          <w:lang w:val="fr-BE" w:eastAsia="fr-FR"/>
        </w:rPr>
      </w:pPr>
    </w:p>
    <w:p w14:paraId="54530B70" w14:textId="77777777" w:rsidR="008751A6" w:rsidRPr="009F25CF" w:rsidRDefault="008751A6" w:rsidP="008751A6">
      <w:pPr>
        <w:spacing w:before="0"/>
        <w:rPr>
          <w:rFonts w:ascii="Comic Sans MS" w:hAnsi="Comic Sans MS"/>
          <w:lang w:val="fr-BE" w:eastAsia="fr-FR"/>
        </w:rPr>
      </w:pPr>
    </w:p>
    <w:p w14:paraId="7BA978DC" w14:textId="3B03439E" w:rsidR="0072721A" w:rsidRPr="00CF364A" w:rsidRDefault="00000000">
      <w:pPr>
        <w:pStyle w:val="Titre1"/>
        <w:numPr>
          <w:ilvl w:val="0"/>
          <w:numId w:val="14"/>
        </w:numPr>
        <w:bidi w:val="0"/>
        <w:spacing w:before="0"/>
        <w:ind w:left="851" w:hanging="851"/>
        <w:jc w:val="left"/>
        <w:rPr>
          <w:rFonts w:ascii="Comic Sans MS" w:hAnsi="Comic Sans MS" w:cstheme="minorHAnsi"/>
          <w:sz w:val="24"/>
          <w:szCs w:val="24"/>
          <w:lang w:val="fr-FR"/>
        </w:rPr>
      </w:pPr>
      <w:hyperlink w:anchor="_Toc262665290" w:history="1">
        <w:bookmarkStart w:id="28" w:name="_Toc166937622"/>
        <w:r w:rsidR="008751A6" w:rsidRPr="00CF364A">
          <w:rPr>
            <w:rFonts w:ascii="Comic Sans MS" w:hAnsi="Comic Sans MS" w:cstheme="minorHAnsi"/>
            <w:sz w:val="24"/>
            <w:szCs w:val="24"/>
            <w:lang w:val="fr-FR"/>
          </w:rPr>
          <w:t>Résultats</w:t>
        </w:r>
      </w:hyperlink>
      <w:r w:rsidR="008751A6" w:rsidRPr="00CF364A">
        <w:rPr>
          <w:rFonts w:ascii="Comic Sans MS" w:hAnsi="Comic Sans MS" w:cstheme="minorHAnsi"/>
          <w:sz w:val="24"/>
          <w:szCs w:val="24"/>
          <w:lang w:val="fr-FR"/>
        </w:rPr>
        <w:t xml:space="preserve"> des mesures visant à atténuer les émissions de GES du sous-secteur </w:t>
      </w:r>
      <w:r w:rsidR="008A3A02">
        <w:rPr>
          <w:rFonts w:ascii="Comic Sans MS" w:hAnsi="Comic Sans MS" w:cstheme="minorHAnsi"/>
          <w:sz w:val="24"/>
          <w:szCs w:val="24"/>
          <w:lang w:val="fr-FR"/>
        </w:rPr>
        <w:t>énergies résidentielles</w:t>
      </w:r>
      <w:bookmarkEnd w:id="28"/>
    </w:p>
    <w:p w14:paraId="49238776" w14:textId="7B6068C4" w:rsidR="00450CC3" w:rsidRDefault="0072721A" w:rsidP="00C14469">
      <w:pPr>
        <w:spacing w:before="0" w:after="120"/>
        <w:ind w:left="0" w:firstLine="0"/>
        <w:rPr>
          <w:rFonts w:ascii="Comic Sans MS" w:eastAsiaTheme="minorHAnsi" w:hAnsi="Comic Sans MS" w:cs="Calibri"/>
          <w:sz w:val="24"/>
          <w:szCs w:val="24"/>
        </w:rPr>
      </w:pPr>
      <w:r w:rsidRPr="00CF364A">
        <w:rPr>
          <w:rFonts w:ascii="Comic Sans MS" w:eastAsiaTheme="minorHAnsi" w:hAnsi="Comic Sans MS" w:cs="Calibri"/>
          <w:sz w:val="24"/>
          <w:szCs w:val="24"/>
        </w:rPr>
        <w:t xml:space="preserve">Le </w:t>
      </w:r>
      <w:r w:rsidR="008751A6" w:rsidRPr="00CF364A">
        <w:rPr>
          <w:rFonts w:ascii="Comic Sans MS" w:eastAsiaTheme="minorHAnsi" w:hAnsi="Comic Sans MS" w:cs="Calibri"/>
          <w:sz w:val="24"/>
          <w:szCs w:val="24"/>
        </w:rPr>
        <w:t xml:space="preserve">résultats </w:t>
      </w:r>
      <w:r w:rsidRPr="00CF364A">
        <w:rPr>
          <w:rFonts w:ascii="Comic Sans MS" w:eastAsiaTheme="minorHAnsi" w:hAnsi="Comic Sans MS" w:cs="Calibri"/>
          <w:sz w:val="24"/>
          <w:szCs w:val="24"/>
        </w:rPr>
        <w:t xml:space="preserve">des émissions </w:t>
      </w:r>
      <w:r w:rsidR="005C6FA9" w:rsidRPr="00CF364A">
        <w:rPr>
          <w:rFonts w:ascii="Comic Sans MS" w:eastAsiaTheme="minorHAnsi" w:hAnsi="Comic Sans MS" w:cs="Calibri"/>
          <w:sz w:val="24"/>
          <w:szCs w:val="24"/>
        </w:rPr>
        <w:t xml:space="preserve">des </w:t>
      </w:r>
      <w:r w:rsidR="008751A6" w:rsidRPr="00CF364A">
        <w:rPr>
          <w:rFonts w:ascii="Comic Sans MS" w:eastAsiaTheme="minorHAnsi" w:hAnsi="Comic Sans MS" w:cs="Calibri"/>
          <w:sz w:val="24"/>
          <w:szCs w:val="24"/>
        </w:rPr>
        <w:t xml:space="preserve">GES du sous-secteur </w:t>
      </w:r>
      <w:r w:rsidR="008A3A02">
        <w:rPr>
          <w:rFonts w:ascii="Comic Sans MS" w:eastAsiaTheme="minorHAnsi" w:hAnsi="Comic Sans MS" w:cs="Calibri"/>
          <w:sz w:val="24"/>
          <w:szCs w:val="24"/>
        </w:rPr>
        <w:t>énergies résidentielles</w:t>
      </w:r>
      <w:r w:rsidR="005C6FA9" w:rsidRPr="00CF364A">
        <w:rPr>
          <w:rFonts w:ascii="Comic Sans MS" w:eastAsiaTheme="minorHAnsi" w:hAnsi="Comic Sans MS" w:cs="Calibri"/>
          <w:sz w:val="24"/>
          <w:szCs w:val="24"/>
        </w:rPr>
        <w:t xml:space="preserve">, calculés </w:t>
      </w:r>
      <w:r w:rsidR="00450CC3" w:rsidRPr="00CF364A">
        <w:rPr>
          <w:rFonts w:ascii="Comic Sans MS" w:eastAsiaTheme="minorHAnsi" w:hAnsi="Comic Sans MS" w:cs="Calibri"/>
          <w:sz w:val="24"/>
          <w:szCs w:val="24"/>
        </w:rPr>
        <w:t>par</w:t>
      </w:r>
      <w:r w:rsidR="00450CC3" w:rsidRPr="009F25CF">
        <w:rPr>
          <w:rFonts w:ascii="Comic Sans MS" w:eastAsiaTheme="minorHAnsi" w:hAnsi="Comic Sans MS" w:cs="Calibri"/>
          <w:sz w:val="24"/>
          <w:szCs w:val="24"/>
        </w:rPr>
        <w:t xml:space="preserve"> le modèle GACMO, se présente comme suit : </w:t>
      </w:r>
    </w:p>
    <w:p w14:paraId="2CA7F2FE" w14:textId="77777777" w:rsidR="00BC5B50" w:rsidRPr="009F25CF" w:rsidRDefault="00BC5B50" w:rsidP="00C14469">
      <w:pPr>
        <w:spacing w:before="0" w:after="120"/>
        <w:ind w:left="0" w:firstLine="0"/>
        <w:rPr>
          <w:rFonts w:ascii="Comic Sans MS" w:eastAsiaTheme="minorHAnsi" w:hAnsi="Comic Sans MS" w:cs="Calibri"/>
          <w:sz w:val="24"/>
          <w:szCs w:val="24"/>
        </w:rPr>
      </w:pPr>
    </w:p>
    <w:p w14:paraId="70A2FF75" w14:textId="18D3B08F" w:rsidR="00C14469" w:rsidRPr="009F25CF" w:rsidRDefault="00C14469">
      <w:pPr>
        <w:pStyle w:val="Paragraphedeliste"/>
        <w:numPr>
          <w:ilvl w:val="0"/>
          <w:numId w:val="15"/>
        </w:numPr>
        <w:spacing w:before="0" w:after="120"/>
        <w:ind w:left="425" w:hanging="357"/>
        <w:contextualSpacing w:val="0"/>
        <w:rPr>
          <w:rFonts w:ascii="Comic Sans MS" w:hAnsi="Comic Sans MS" w:cstheme="minorHAnsi"/>
          <w:b/>
          <w:bCs/>
          <w:lang w:eastAsia="ja-JP"/>
        </w:rPr>
      </w:pPr>
      <w:r w:rsidRPr="009F25CF">
        <w:rPr>
          <w:rFonts w:ascii="Comic Sans MS" w:eastAsiaTheme="minorHAnsi" w:hAnsi="Comic Sans MS" w:cstheme="minorHAnsi"/>
          <w:b/>
          <w:bCs/>
        </w:rPr>
        <w:t>Bilan du scénario de référence </w:t>
      </w:r>
      <w:r w:rsidR="008A3A02">
        <w:rPr>
          <w:rFonts w:ascii="Comic Sans MS" w:eastAsiaTheme="minorHAnsi" w:hAnsi="Comic Sans MS" w:cstheme="minorHAnsi"/>
          <w:b/>
          <w:bCs/>
        </w:rPr>
        <w:t>« </w:t>
      </w:r>
      <w:r w:rsidRPr="009F25CF">
        <w:rPr>
          <w:rFonts w:ascii="Comic Sans MS" w:eastAsiaTheme="minorHAnsi" w:hAnsi="Comic Sans MS" w:cstheme="minorHAnsi"/>
          <w:b/>
          <w:bCs/>
        </w:rPr>
        <w:t>sans mesures d’atténuation</w:t>
      </w:r>
      <w:r w:rsidR="008A3A02">
        <w:rPr>
          <w:rFonts w:ascii="Comic Sans MS" w:eastAsiaTheme="minorHAnsi" w:hAnsi="Comic Sans MS" w:cstheme="minorHAnsi"/>
          <w:b/>
          <w:bCs/>
        </w:rPr>
        <w:t> »</w:t>
      </w:r>
    </w:p>
    <w:p w14:paraId="1527C53D" w14:textId="1C373689" w:rsidR="006E3D32" w:rsidRPr="009F25CF" w:rsidRDefault="006E3D32" w:rsidP="005F16EF">
      <w:pPr>
        <w:pStyle w:val="TM1"/>
      </w:pPr>
      <w:r w:rsidRPr="009F25CF">
        <w:t xml:space="preserve">Le résultat du sénario de référence </w:t>
      </w:r>
      <w:r w:rsidR="008A3A02">
        <w:t>« </w:t>
      </w:r>
      <w:r w:rsidRPr="009F25CF">
        <w:t>BAU</w:t>
      </w:r>
      <w:r w:rsidR="008A3A02">
        <w:t> »</w:t>
      </w:r>
      <w:r w:rsidRPr="009F25CF">
        <w:t xml:space="preserve"> démontre que le sous-secteur </w:t>
      </w:r>
      <w:r w:rsidR="008A3A02">
        <w:t>énergies résidentielle</w:t>
      </w:r>
      <w:r w:rsidRPr="009F25CF">
        <w:t xml:space="preserve"> est une </w:t>
      </w:r>
      <w:r w:rsidR="008A3A02">
        <w:t xml:space="preserve">importante </w:t>
      </w:r>
      <w:r w:rsidRPr="009F25CF">
        <w:t>source d</w:t>
      </w:r>
      <w:r w:rsidR="008A3A02">
        <w:t>’émission</w:t>
      </w:r>
      <w:r w:rsidRPr="009F25CF">
        <w:t>e des GES (tableau 1).</w:t>
      </w:r>
    </w:p>
    <w:p w14:paraId="145A3D50" w14:textId="77777777" w:rsidR="006E3D32" w:rsidRDefault="006E3D32" w:rsidP="006E3D32">
      <w:pPr>
        <w:spacing w:before="0"/>
        <w:rPr>
          <w:rFonts w:ascii="Comic Sans MS" w:hAnsi="Comic Sans MS"/>
          <w:lang w:val="fr-BE" w:eastAsia="fr-FR"/>
        </w:rPr>
      </w:pPr>
    </w:p>
    <w:p w14:paraId="21E546FC" w14:textId="77777777" w:rsidR="00BC5B50" w:rsidRDefault="00BC5B50" w:rsidP="006E3D32">
      <w:pPr>
        <w:spacing w:before="0"/>
        <w:rPr>
          <w:rFonts w:ascii="Comic Sans MS" w:hAnsi="Comic Sans MS"/>
          <w:lang w:val="fr-BE" w:eastAsia="fr-FR"/>
        </w:rPr>
      </w:pPr>
    </w:p>
    <w:p w14:paraId="16967F28" w14:textId="77777777" w:rsidR="00BC5B50" w:rsidRPr="009F25CF" w:rsidRDefault="00BC5B50" w:rsidP="006E3D32">
      <w:pPr>
        <w:spacing w:before="0"/>
        <w:rPr>
          <w:rFonts w:ascii="Comic Sans MS" w:hAnsi="Comic Sans MS"/>
          <w:lang w:val="fr-BE" w:eastAsia="fr-FR"/>
        </w:rPr>
      </w:pPr>
    </w:p>
    <w:p w14:paraId="0E4578D4" w14:textId="28D5F9C7" w:rsidR="006E3D32" w:rsidRPr="009F25CF" w:rsidRDefault="006E3D32" w:rsidP="006E3D32">
      <w:pPr>
        <w:spacing w:before="0" w:after="120"/>
        <w:rPr>
          <w:rFonts w:ascii="Comic Sans MS" w:hAnsi="Comic Sans MS"/>
          <w:lang w:eastAsia="ja-JP"/>
        </w:rPr>
      </w:pPr>
      <w:r w:rsidRPr="009F25CF">
        <w:rPr>
          <w:rFonts w:ascii="Comic Sans MS" w:hAnsi="Comic Sans MS" w:cs="Calibri"/>
          <w:b/>
          <w:bCs/>
          <w:color w:val="000000"/>
        </w:rPr>
        <w:t>Tableau 1 : Evolution des émissions</w:t>
      </w:r>
      <w:r w:rsidR="007E3446">
        <w:rPr>
          <w:rFonts w:ascii="Comic Sans MS" w:hAnsi="Comic Sans MS" w:cs="Calibri"/>
          <w:b/>
          <w:bCs/>
          <w:color w:val="000000"/>
        </w:rPr>
        <w:t xml:space="preserve"> du scénario</w:t>
      </w:r>
      <w:r w:rsidRPr="009F25CF">
        <w:rPr>
          <w:rFonts w:ascii="Comic Sans MS" w:hAnsi="Comic Sans MS" w:cs="Calibri"/>
          <w:b/>
          <w:bCs/>
          <w:color w:val="000000"/>
        </w:rPr>
        <w:t xml:space="preserve"> BAU du sous-secteur </w:t>
      </w:r>
      <w:r w:rsidR="00BC5B50">
        <w:rPr>
          <w:rFonts w:ascii="Comic Sans MS" w:hAnsi="Comic Sans MS" w:cs="Calibri"/>
          <w:b/>
          <w:bCs/>
          <w:color w:val="000000"/>
        </w:rPr>
        <w:t>énergies résidentielles</w:t>
      </w:r>
    </w:p>
    <w:tbl>
      <w:tblPr>
        <w:tblW w:w="101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654"/>
        <w:gridCol w:w="1654"/>
        <w:gridCol w:w="1654"/>
        <w:gridCol w:w="1654"/>
        <w:gridCol w:w="1655"/>
      </w:tblGrid>
      <w:tr w:rsidR="006E3D32" w:rsidRPr="009F25CF" w14:paraId="487946DE" w14:textId="77777777" w:rsidTr="00644CA6">
        <w:trPr>
          <w:trHeight w:val="290"/>
        </w:trPr>
        <w:tc>
          <w:tcPr>
            <w:tcW w:w="1838" w:type="dxa"/>
            <w:vMerge w:val="restart"/>
            <w:shd w:val="clear" w:color="auto" w:fill="auto"/>
            <w:noWrap/>
            <w:vAlign w:val="bottom"/>
            <w:hideMark/>
          </w:tcPr>
          <w:p w14:paraId="1A39119E" w14:textId="77777777" w:rsidR="006E3D32" w:rsidRPr="009F25CF" w:rsidRDefault="006E3D32" w:rsidP="00644CA6">
            <w:pPr>
              <w:spacing w:before="0"/>
              <w:ind w:left="0" w:firstLine="0"/>
              <w:jc w:val="left"/>
              <w:rPr>
                <w:rFonts w:ascii="Comic Sans MS" w:eastAsia="Times New Roman" w:hAnsi="Comic Sans MS" w:cs="Calibri"/>
                <w:color w:val="000000"/>
                <w:lang w:eastAsia="fr-FR"/>
              </w:rPr>
            </w:pPr>
          </w:p>
        </w:tc>
        <w:tc>
          <w:tcPr>
            <w:tcW w:w="1654" w:type="dxa"/>
            <w:shd w:val="clear" w:color="auto" w:fill="auto"/>
            <w:noWrap/>
            <w:vAlign w:val="bottom"/>
            <w:hideMark/>
          </w:tcPr>
          <w:p w14:paraId="1A65A182" w14:textId="77777777" w:rsidR="006E3D32" w:rsidRPr="009F25CF" w:rsidRDefault="006E3D32" w:rsidP="00644CA6">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2020</w:t>
            </w:r>
          </w:p>
        </w:tc>
        <w:tc>
          <w:tcPr>
            <w:tcW w:w="1654" w:type="dxa"/>
            <w:shd w:val="clear" w:color="auto" w:fill="auto"/>
            <w:noWrap/>
            <w:vAlign w:val="bottom"/>
            <w:hideMark/>
          </w:tcPr>
          <w:p w14:paraId="47F1BA2A" w14:textId="77777777" w:rsidR="006E3D32" w:rsidRPr="009F25CF" w:rsidRDefault="006E3D32" w:rsidP="00644CA6">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2025</w:t>
            </w:r>
          </w:p>
        </w:tc>
        <w:tc>
          <w:tcPr>
            <w:tcW w:w="1654" w:type="dxa"/>
            <w:shd w:val="clear" w:color="auto" w:fill="auto"/>
            <w:noWrap/>
            <w:vAlign w:val="bottom"/>
            <w:hideMark/>
          </w:tcPr>
          <w:p w14:paraId="1F7FB11B" w14:textId="77777777" w:rsidR="006E3D32" w:rsidRPr="009F25CF" w:rsidRDefault="006E3D32" w:rsidP="00644CA6">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2030</w:t>
            </w:r>
          </w:p>
        </w:tc>
        <w:tc>
          <w:tcPr>
            <w:tcW w:w="1654" w:type="dxa"/>
            <w:shd w:val="clear" w:color="auto" w:fill="auto"/>
            <w:noWrap/>
            <w:vAlign w:val="bottom"/>
            <w:hideMark/>
          </w:tcPr>
          <w:p w14:paraId="00BA161B" w14:textId="77777777" w:rsidR="006E3D32" w:rsidRPr="009F25CF" w:rsidRDefault="006E3D32" w:rsidP="00644CA6">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2035</w:t>
            </w:r>
          </w:p>
        </w:tc>
        <w:tc>
          <w:tcPr>
            <w:tcW w:w="1655" w:type="dxa"/>
            <w:shd w:val="clear" w:color="auto" w:fill="auto"/>
            <w:noWrap/>
            <w:vAlign w:val="bottom"/>
            <w:hideMark/>
          </w:tcPr>
          <w:p w14:paraId="7DEEAD3F" w14:textId="77777777" w:rsidR="006E3D32" w:rsidRPr="009F25CF" w:rsidRDefault="006E3D32" w:rsidP="00644CA6">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2050</w:t>
            </w:r>
          </w:p>
        </w:tc>
      </w:tr>
      <w:tr w:rsidR="006E3D32" w:rsidRPr="009F25CF" w14:paraId="6FECE07D" w14:textId="77777777" w:rsidTr="00644CA6">
        <w:trPr>
          <w:trHeight w:val="290"/>
        </w:trPr>
        <w:tc>
          <w:tcPr>
            <w:tcW w:w="1838" w:type="dxa"/>
            <w:vMerge/>
            <w:shd w:val="clear" w:color="auto" w:fill="auto"/>
            <w:noWrap/>
            <w:vAlign w:val="bottom"/>
          </w:tcPr>
          <w:p w14:paraId="6FA09720" w14:textId="77777777" w:rsidR="006E3D32" w:rsidRPr="009F25CF" w:rsidRDefault="006E3D32" w:rsidP="00644CA6">
            <w:pPr>
              <w:spacing w:before="0"/>
              <w:ind w:left="0" w:firstLine="0"/>
              <w:jc w:val="left"/>
              <w:rPr>
                <w:rFonts w:ascii="Comic Sans MS" w:eastAsia="Times New Roman" w:hAnsi="Comic Sans MS" w:cs="Calibri"/>
                <w:color w:val="000000"/>
                <w:lang w:eastAsia="fr-FR"/>
              </w:rPr>
            </w:pPr>
          </w:p>
        </w:tc>
        <w:tc>
          <w:tcPr>
            <w:tcW w:w="8271" w:type="dxa"/>
            <w:gridSpan w:val="5"/>
            <w:shd w:val="clear" w:color="auto" w:fill="auto"/>
            <w:noWrap/>
            <w:vAlign w:val="bottom"/>
          </w:tcPr>
          <w:p w14:paraId="7ED296B7" w14:textId="77777777" w:rsidR="006E3D32" w:rsidRPr="009F25CF" w:rsidRDefault="006E3D32" w:rsidP="00644CA6">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color w:val="000000"/>
                <w:lang w:eastAsia="fr-FR"/>
              </w:rPr>
              <w:t>Kt CO</w:t>
            </w:r>
            <w:r w:rsidRPr="009F25CF">
              <w:rPr>
                <w:rFonts w:ascii="Comic Sans MS" w:eastAsia="Times New Roman" w:hAnsi="Comic Sans MS" w:cs="Calibri"/>
                <w:color w:val="000000"/>
                <w:vertAlign w:val="subscript"/>
                <w:lang w:eastAsia="fr-FR"/>
              </w:rPr>
              <w:t>2</w:t>
            </w:r>
          </w:p>
        </w:tc>
      </w:tr>
      <w:tr w:rsidR="00BC5B50" w:rsidRPr="000C458B" w14:paraId="151A3AA1" w14:textId="77777777" w:rsidTr="00BC5B50">
        <w:trPr>
          <w:trHeight w:val="29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68CA" w14:textId="77777777" w:rsidR="00BC5B50" w:rsidRPr="000C458B" w:rsidRDefault="00BC5B50" w:rsidP="00BC5B50">
            <w:pPr>
              <w:spacing w:before="0"/>
              <w:ind w:left="0" w:firstLine="0"/>
              <w:jc w:val="left"/>
              <w:rPr>
                <w:rFonts w:ascii="Comic Sans MS" w:eastAsia="Times New Roman" w:hAnsi="Comic Sans MS" w:cs="Calibri"/>
                <w:b/>
                <w:bCs/>
                <w:color w:val="000000"/>
                <w:lang w:eastAsia="fr-FR"/>
              </w:rPr>
            </w:pPr>
            <w:r w:rsidRPr="000C458B">
              <w:rPr>
                <w:rFonts w:ascii="Comic Sans MS" w:eastAsia="Times New Roman" w:hAnsi="Comic Sans MS" w:cs="Calibri"/>
                <w:b/>
                <w:bCs/>
                <w:color w:val="000000"/>
                <w:lang w:eastAsia="fr-FR"/>
              </w:rPr>
              <w:t>Ménages</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DBD0B" w14:textId="77777777" w:rsidR="00BC5B50" w:rsidRPr="000C458B" w:rsidRDefault="00BC5B50" w:rsidP="00BC5B50">
            <w:pPr>
              <w:spacing w:before="0"/>
              <w:ind w:left="0" w:firstLine="0"/>
              <w:jc w:val="right"/>
              <w:rPr>
                <w:rFonts w:ascii="Comic Sans MS" w:eastAsia="Times New Roman" w:hAnsi="Comic Sans MS" w:cs="Calibri"/>
                <w:color w:val="000000"/>
                <w:lang w:eastAsia="fr-FR"/>
              </w:rPr>
            </w:pPr>
            <w:r w:rsidRPr="000C458B">
              <w:rPr>
                <w:rFonts w:ascii="Comic Sans MS" w:eastAsia="Times New Roman" w:hAnsi="Comic Sans MS" w:cs="Calibri"/>
                <w:color w:val="000000"/>
                <w:lang w:eastAsia="fr-FR"/>
              </w:rPr>
              <w:t>228</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F031" w14:textId="77777777" w:rsidR="00BC5B50" w:rsidRPr="000C458B" w:rsidRDefault="00BC5B50" w:rsidP="00BC5B50">
            <w:pPr>
              <w:spacing w:before="0"/>
              <w:ind w:left="0" w:firstLine="0"/>
              <w:jc w:val="right"/>
              <w:rPr>
                <w:rFonts w:ascii="Comic Sans MS" w:eastAsia="Times New Roman" w:hAnsi="Comic Sans MS" w:cs="Calibri"/>
                <w:color w:val="000000"/>
                <w:lang w:eastAsia="fr-FR"/>
              </w:rPr>
            </w:pPr>
            <w:r w:rsidRPr="000C458B">
              <w:rPr>
                <w:rFonts w:ascii="Comic Sans MS" w:eastAsia="Times New Roman" w:hAnsi="Comic Sans MS" w:cs="Calibri"/>
                <w:color w:val="000000"/>
                <w:lang w:eastAsia="fr-FR"/>
              </w:rPr>
              <w:t>305</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4D30" w14:textId="77777777" w:rsidR="00BC5B50" w:rsidRPr="000C458B" w:rsidRDefault="00BC5B50" w:rsidP="00BC5B50">
            <w:pPr>
              <w:spacing w:before="0"/>
              <w:ind w:left="0" w:firstLine="0"/>
              <w:jc w:val="right"/>
              <w:rPr>
                <w:rFonts w:ascii="Comic Sans MS" w:eastAsia="Times New Roman" w:hAnsi="Comic Sans MS" w:cs="Calibri"/>
                <w:color w:val="000000"/>
                <w:lang w:eastAsia="fr-FR"/>
              </w:rPr>
            </w:pPr>
            <w:r w:rsidRPr="000C458B">
              <w:rPr>
                <w:rFonts w:ascii="Comic Sans MS" w:eastAsia="Times New Roman" w:hAnsi="Comic Sans MS" w:cs="Calibri"/>
                <w:color w:val="000000"/>
                <w:lang w:eastAsia="fr-FR"/>
              </w:rPr>
              <w:t>408</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DF10F" w14:textId="77777777" w:rsidR="00BC5B50" w:rsidRPr="000C458B" w:rsidRDefault="00BC5B50" w:rsidP="00BC5B50">
            <w:pPr>
              <w:spacing w:before="0"/>
              <w:ind w:left="0" w:firstLine="0"/>
              <w:jc w:val="right"/>
              <w:rPr>
                <w:rFonts w:ascii="Comic Sans MS" w:eastAsia="Times New Roman" w:hAnsi="Comic Sans MS" w:cs="Calibri"/>
                <w:color w:val="000000"/>
                <w:lang w:eastAsia="fr-FR"/>
              </w:rPr>
            </w:pPr>
            <w:r w:rsidRPr="000C458B">
              <w:rPr>
                <w:rFonts w:ascii="Comic Sans MS" w:eastAsia="Times New Roman" w:hAnsi="Comic Sans MS" w:cs="Calibri"/>
                <w:color w:val="000000"/>
                <w:lang w:eastAsia="fr-FR"/>
              </w:rPr>
              <w:t>545</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59AA3" w14:textId="77777777" w:rsidR="00BC5B50" w:rsidRPr="000C458B" w:rsidRDefault="00BC5B50" w:rsidP="00BC5B50">
            <w:pPr>
              <w:spacing w:before="0"/>
              <w:ind w:left="0" w:firstLine="0"/>
              <w:jc w:val="right"/>
              <w:rPr>
                <w:rFonts w:ascii="Comic Sans MS" w:eastAsia="Times New Roman" w:hAnsi="Comic Sans MS" w:cs="Calibri"/>
                <w:color w:val="000000"/>
                <w:lang w:eastAsia="fr-FR"/>
              </w:rPr>
            </w:pPr>
            <w:r w:rsidRPr="000C458B">
              <w:rPr>
                <w:rFonts w:ascii="Comic Sans MS" w:eastAsia="Times New Roman" w:hAnsi="Comic Sans MS" w:cs="Calibri"/>
                <w:color w:val="000000"/>
                <w:lang w:eastAsia="fr-FR"/>
              </w:rPr>
              <w:t>733</w:t>
            </w:r>
          </w:p>
        </w:tc>
      </w:tr>
    </w:tbl>
    <w:p w14:paraId="4FCEC3CB" w14:textId="77777777" w:rsidR="00BC5B50" w:rsidRDefault="00BC5B50" w:rsidP="005F16EF">
      <w:pPr>
        <w:pStyle w:val="TM1"/>
      </w:pPr>
    </w:p>
    <w:p w14:paraId="7E83FD18" w14:textId="0688D4EC" w:rsidR="00EC06BD" w:rsidRDefault="007E3446" w:rsidP="005F16EF">
      <w:pPr>
        <w:pStyle w:val="TM1"/>
      </w:pPr>
      <w:r>
        <w:lastRenderedPageBreak/>
        <w:drawing>
          <wp:anchor distT="0" distB="0" distL="114300" distR="114300" simplePos="0" relativeHeight="251658752" behindDoc="0" locked="0" layoutInCell="1" allowOverlap="1" wp14:anchorId="1B81E354" wp14:editId="3E62F26F">
            <wp:simplePos x="0" y="0"/>
            <wp:positionH relativeFrom="column">
              <wp:posOffset>2853690</wp:posOffset>
            </wp:positionH>
            <wp:positionV relativeFrom="paragraph">
              <wp:posOffset>115570</wp:posOffset>
            </wp:positionV>
            <wp:extent cx="3752850" cy="2368550"/>
            <wp:effectExtent l="0" t="0" r="0" b="0"/>
            <wp:wrapSquare wrapText="bothSides"/>
            <wp:docPr id="1657133195" name="Graphique 1">
              <a:extLst xmlns:a="http://schemas.openxmlformats.org/drawingml/2006/main">
                <a:ext uri="{FF2B5EF4-FFF2-40B4-BE49-F238E27FC236}">
                  <a16:creationId xmlns:a16="http://schemas.microsoft.com/office/drawing/2014/main" id="{F7E8F0C9-8891-E1BC-957D-82EB024C7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t>Il ressort des projections que les émissions du sous-secteur énetgies résidentielles augmente</w:t>
      </w:r>
      <w:r w:rsidR="00FF3A58">
        <w:t>nt</w:t>
      </w:r>
      <w:r>
        <w:t xml:space="preserve"> </w:t>
      </w:r>
      <w:r w:rsidR="009C7B48" w:rsidRPr="009F25CF">
        <w:t xml:space="preserve">à fur et à mesure de temps sous l’effet de la </w:t>
      </w:r>
      <w:r>
        <w:t xml:space="preserve">prgression du besoin des ménages en énergies de cuisson et en absence </w:t>
      </w:r>
      <w:r w:rsidR="00D26950" w:rsidRPr="009F25CF">
        <w:t xml:space="preserve">des mésures d’atténuation capables de </w:t>
      </w:r>
      <w:r>
        <w:t xml:space="preserve">réduire la consommation des combustibles ligneux et donc de </w:t>
      </w:r>
      <w:r w:rsidR="00D26950" w:rsidRPr="009F25CF">
        <w:t xml:space="preserve">la déforestation et </w:t>
      </w:r>
      <w:r w:rsidR="00FF3A58">
        <w:t xml:space="preserve">de </w:t>
      </w:r>
      <w:r w:rsidR="00D26950" w:rsidRPr="009F25CF">
        <w:t>la dégradation des forêts</w:t>
      </w:r>
      <w:r w:rsidR="001A5F6E">
        <w:t xml:space="preserve"> et</w:t>
      </w:r>
      <w:r w:rsidR="00FF3A58">
        <w:t xml:space="preserve"> des</w:t>
      </w:r>
      <w:r w:rsidR="001A5F6E">
        <w:t xml:space="preserve"> terres boisées</w:t>
      </w:r>
      <w:r w:rsidR="00D26950" w:rsidRPr="009F25CF">
        <w:t xml:space="preserve">. </w:t>
      </w:r>
    </w:p>
    <w:p w14:paraId="43A86AE0" w14:textId="77777777" w:rsidR="007E3446" w:rsidRDefault="007E3446" w:rsidP="007E3446">
      <w:pPr>
        <w:rPr>
          <w:lang w:val="fr-BE" w:eastAsia="fr-FR"/>
        </w:rPr>
      </w:pPr>
    </w:p>
    <w:p w14:paraId="22045B4C" w14:textId="58D3B4EE" w:rsidR="007E3446" w:rsidRDefault="007E3446" w:rsidP="007E3446">
      <w:pPr>
        <w:rPr>
          <w:lang w:val="fr-BE" w:eastAsia="fr-FR"/>
        </w:rPr>
      </w:pPr>
    </w:p>
    <w:p w14:paraId="7E8C7784" w14:textId="77777777" w:rsidR="007628C7" w:rsidRPr="007E3446" w:rsidRDefault="007628C7" w:rsidP="007E3446">
      <w:pPr>
        <w:rPr>
          <w:lang w:val="fr-BE" w:eastAsia="fr-FR"/>
        </w:rPr>
      </w:pPr>
    </w:p>
    <w:p w14:paraId="78D2A78B" w14:textId="321167FF" w:rsidR="00415DDE" w:rsidRPr="009F25CF" w:rsidRDefault="00415DDE">
      <w:pPr>
        <w:pStyle w:val="Paragraphedeliste"/>
        <w:numPr>
          <w:ilvl w:val="0"/>
          <w:numId w:val="15"/>
        </w:numPr>
        <w:spacing w:before="0" w:after="120"/>
        <w:ind w:left="425" w:hanging="357"/>
        <w:contextualSpacing w:val="0"/>
        <w:rPr>
          <w:rFonts w:ascii="Comic Sans MS" w:eastAsiaTheme="minorHAnsi" w:hAnsi="Comic Sans MS" w:cstheme="minorHAnsi"/>
          <w:b/>
          <w:bCs/>
        </w:rPr>
      </w:pPr>
      <w:r w:rsidRPr="009F25CF">
        <w:rPr>
          <w:rFonts w:ascii="Comic Sans MS" w:eastAsiaTheme="minorHAnsi" w:hAnsi="Comic Sans MS" w:cstheme="minorHAnsi"/>
          <w:b/>
          <w:bCs/>
        </w:rPr>
        <w:t xml:space="preserve">Bilan du scénario avec mesures d’atténuation du sous-secteur </w:t>
      </w:r>
      <w:r w:rsidR="001A5F6E">
        <w:rPr>
          <w:rFonts w:ascii="Comic Sans MS" w:eastAsiaTheme="minorHAnsi" w:hAnsi="Comic Sans MS" w:cstheme="minorHAnsi"/>
          <w:b/>
          <w:bCs/>
        </w:rPr>
        <w:t>énergies résidentielles</w:t>
      </w:r>
    </w:p>
    <w:p w14:paraId="447276C8" w14:textId="609D01CC" w:rsidR="00415DDE" w:rsidRPr="009F25CF" w:rsidRDefault="00415DDE" w:rsidP="005F16EF">
      <w:pPr>
        <w:pStyle w:val="TM1"/>
      </w:pPr>
      <w:r w:rsidRPr="009F25CF">
        <w:t xml:space="preserve">Le résultat du sénario </w:t>
      </w:r>
      <w:r w:rsidR="000D0E11" w:rsidRPr="009F25CF">
        <w:t>avec mesures d’atténuation du</w:t>
      </w:r>
      <w:r w:rsidRPr="009F25CF">
        <w:t xml:space="preserve"> sous-secteur </w:t>
      </w:r>
      <w:r w:rsidR="001A5F6E">
        <w:t>énergies résidentielles</w:t>
      </w:r>
      <w:r w:rsidRPr="009F25CF">
        <w:t xml:space="preserve"> </w:t>
      </w:r>
      <w:r w:rsidR="000D0E11" w:rsidRPr="009F25CF">
        <w:t>fait état d’</w:t>
      </w:r>
      <w:r w:rsidRPr="009F25CF">
        <w:t xml:space="preserve">une séquestration </w:t>
      </w:r>
      <w:r w:rsidR="000D0E11" w:rsidRPr="009F25CF">
        <w:t>progressive et continue</w:t>
      </w:r>
      <w:r w:rsidR="001F4AF6" w:rsidRPr="009F25CF">
        <w:t xml:space="preserve"> </w:t>
      </w:r>
      <w:r w:rsidRPr="009F25CF">
        <w:t xml:space="preserve">de GES (tableau </w:t>
      </w:r>
      <w:r w:rsidR="000D0E11" w:rsidRPr="009F25CF">
        <w:t>2</w:t>
      </w:r>
      <w:r w:rsidRPr="009F25CF">
        <w:t>).</w:t>
      </w:r>
      <w:r w:rsidR="00B56210" w:rsidRPr="009F25CF">
        <w:t xml:space="preserve"> </w:t>
      </w:r>
    </w:p>
    <w:p w14:paraId="7643B716" w14:textId="77777777" w:rsidR="00415DDE" w:rsidRPr="009F25CF" w:rsidRDefault="00415DDE" w:rsidP="00415DDE">
      <w:pPr>
        <w:spacing w:before="0"/>
        <w:rPr>
          <w:rFonts w:ascii="Comic Sans MS" w:hAnsi="Comic Sans MS"/>
          <w:lang w:val="fr-BE" w:eastAsia="fr-FR"/>
        </w:rPr>
      </w:pPr>
    </w:p>
    <w:p w14:paraId="0D77BA17" w14:textId="365D5925" w:rsidR="000D0E11" w:rsidRPr="009F25CF" w:rsidRDefault="000D0E11" w:rsidP="000D0E11">
      <w:pPr>
        <w:spacing w:before="0" w:after="120"/>
        <w:rPr>
          <w:rFonts w:ascii="Comic Sans MS" w:hAnsi="Comic Sans MS"/>
          <w:lang w:eastAsia="ja-JP"/>
        </w:rPr>
      </w:pPr>
      <w:r w:rsidRPr="009F25CF">
        <w:rPr>
          <w:rFonts w:ascii="Comic Sans MS" w:hAnsi="Comic Sans MS" w:cs="Calibri"/>
          <w:b/>
          <w:bCs/>
          <w:color w:val="000000"/>
        </w:rPr>
        <w:t>Tableau 2</w:t>
      </w:r>
      <w:r w:rsidR="00943958" w:rsidRPr="009F25CF">
        <w:rPr>
          <w:rFonts w:ascii="Comic Sans MS" w:hAnsi="Comic Sans MS" w:cs="Calibri"/>
          <w:b/>
          <w:bCs/>
          <w:color w:val="000000"/>
        </w:rPr>
        <w:t xml:space="preserve"> </w:t>
      </w:r>
      <w:r w:rsidRPr="009F25CF">
        <w:rPr>
          <w:rFonts w:ascii="Comic Sans MS" w:hAnsi="Comic Sans MS" w:cs="Calibri"/>
          <w:b/>
          <w:bCs/>
          <w:color w:val="000000"/>
        </w:rPr>
        <w:t>: E</w:t>
      </w:r>
      <w:r w:rsidR="008D2C99">
        <w:rPr>
          <w:rFonts w:ascii="Comic Sans MS" w:hAnsi="Comic Sans MS" w:cs="Calibri"/>
          <w:b/>
          <w:bCs/>
          <w:color w:val="000000"/>
        </w:rPr>
        <w:t xml:space="preserve">tat </w:t>
      </w:r>
      <w:r w:rsidRPr="009F25CF">
        <w:rPr>
          <w:rFonts w:ascii="Comic Sans MS" w:hAnsi="Comic Sans MS" w:cs="Calibri"/>
          <w:b/>
          <w:bCs/>
          <w:color w:val="000000"/>
        </w:rPr>
        <w:t xml:space="preserve">des émissions </w:t>
      </w:r>
      <w:r w:rsidR="008D2C99">
        <w:rPr>
          <w:rFonts w:ascii="Comic Sans MS" w:hAnsi="Comic Sans MS" w:cs="Calibri"/>
          <w:b/>
          <w:bCs/>
          <w:color w:val="000000"/>
        </w:rPr>
        <w:t xml:space="preserve">du scénario avec </w:t>
      </w:r>
      <w:r w:rsidRPr="009F25CF">
        <w:rPr>
          <w:rFonts w:ascii="Comic Sans MS" w:hAnsi="Comic Sans MS" w:cs="Calibri"/>
          <w:b/>
          <w:bCs/>
          <w:color w:val="000000"/>
        </w:rPr>
        <w:t xml:space="preserve">mesures d’atténuation du sous-secteur </w:t>
      </w:r>
      <w:r w:rsidR="008D2C99">
        <w:rPr>
          <w:rFonts w:ascii="Comic Sans MS" w:hAnsi="Comic Sans MS" w:cs="Calibri"/>
          <w:b/>
          <w:bCs/>
          <w:color w:val="000000"/>
        </w:rPr>
        <w:t>énergies résidentielles</w:t>
      </w:r>
    </w:p>
    <w:tbl>
      <w:tblPr>
        <w:tblW w:w="97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253"/>
        <w:gridCol w:w="1465"/>
        <w:gridCol w:w="1250"/>
        <w:gridCol w:w="1676"/>
        <w:gridCol w:w="1465"/>
      </w:tblGrid>
      <w:tr w:rsidR="007628C7" w:rsidRPr="009F25CF" w14:paraId="7E9BB346" w14:textId="77777777" w:rsidTr="007628C7">
        <w:trPr>
          <w:trHeight w:val="290"/>
        </w:trPr>
        <w:tc>
          <w:tcPr>
            <w:tcW w:w="2689" w:type="dxa"/>
            <w:vMerge w:val="restart"/>
            <w:shd w:val="clear" w:color="auto" w:fill="auto"/>
            <w:noWrap/>
            <w:vAlign w:val="bottom"/>
            <w:hideMark/>
          </w:tcPr>
          <w:p w14:paraId="452ACADD" w14:textId="77777777" w:rsidR="007628C7" w:rsidRPr="009F25CF" w:rsidRDefault="007628C7" w:rsidP="007628C7">
            <w:pPr>
              <w:spacing w:before="0"/>
              <w:ind w:left="0" w:firstLine="0"/>
              <w:jc w:val="left"/>
              <w:rPr>
                <w:rFonts w:ascii="Comic Sans MS" w:eastAsia="Times New Roman" w:hAnsi="Comic Sans MS" w:cs="Calibri"/>
                <w:color w:val="000000"/>
                <w:lang w:eastAsia="fr-FR"/>
              </w:rPr>
            </w:pPr>
          </w:p>
        </w:tc>
        <w:tc>
          <w:tcPr>
            <w:tcW w:w="1253" w:type="dxa"/>
            <w:shd w:val="clear" w:color="auto" w:fill="auto"/>
            <w:noWrap/>
            <w:vAlign w:val="bottom"/>
            <w:hideMark/>
          </w:tcPr>
          <w:p w14:paraId="15B55734" w14:textId="77777777" w:rsidR="007628C7" w:rsidRPr="009F25CF" w:rsidRDefault="007628C7" w:rsidP="007628C7">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2020</w:t>
            </w:r>
          </w:p>
        </w:tc>
        <w:tc>
          <w:tcPr>
            <w:tcW w:w="1465" w:type="dxa"/>
            <w:shd w:val="clear" w:color="auto" w:fill="auto"/>
            <w:noWrap/>
            <w:vAlign w:val="bottom"/>
            <w:hideMark/>
          </w:tcPr>
          <w:p w14:paraId="68DF3457" w14:textId="77777777" w:rsidR="007628C7" w:rsidRPr="009F25CF" w:rsidRDefault="007628C7" w:rsidP="007628C7">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2025</w:t>
            </w:r>
          </w:p>
        </w:tc>
        <w:tc>
          <w:tcPr>
            <w:tcW w:w="1250" w:type="dxa"/>
            <w:vAlign w:val="bottom"/>
          </w:tcPr>
          <w:p w14:paraId="3EE7E38B" w14:textId="5BE3B296" w:rsidR="007628C7" w:rsidRPr="009F25CF" w:rsidRDefault="007628C7" w:rsidP="007628C7">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2030</w:t>
            </w:r>
          </w:p>
        </w:tc>
        <w:tc>
          <w:tcPr>
            <w:tcW w:w="1676" w:type="dxa"/>
            <w:shd w:val="clear" w:color="auto" w:fill="auto"/>
            <w:noWrap/>
            <w:vAlign w:val="bottom"/>
          </w:tcPr>
          <w:p w14:paraId="55E7CE43" w14:textId="4946FDE2" w:rsidR="007628C7" w:rsidRPr="009F25CF" w:rsidRDefault="007628C7" w:rsidP="007628C7">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2035</w:t>
            </w:r>
          </w:p>
        </w:tc>
        <w:tc>
          <w:tcPr>
            <w:tcW w:w="1465" w:type="dxa"/>
            <w:shd w:val="clear" w:color="auto" w:fill="auto"/>
            <w:noWrap/>
            <w:vAlign w:val="bottom"/>
          </w:tcPr>
          <w:p w14:paraId="38E0C651" w14:textId="43869554" w:rsidR="007628C7" w:rsidRPr="009F25CF" w:rsidRDefault="007628C7" w:rsidP="007628C7">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b/>
                <w:bCs/>
                <w:color w:val="000000"/>
                <w:lang w:eastAsia="fr-FR"/>
              </w:rPr>
              <w:t>2050</w:t>
            </w:r>
          </w:p>
        </w:tc>
      </w:tr>
      <w:tr w:rsidR="007628C7" w:rsidRPr="009F25CF" w14:paraId="1822302E" w14:textId="77777777" w:rsidTr="007628C7">
        <w:trPr>
          <w:trHeight w:val="290"/>
        </w:trPr>
        <w:tc>
          <w:tcPr>
            <w:tcW w:w="2689" w:type="dxa"/>
            <w:vMerge/>
            <w:shd w:val="clear" w:color="auto" w:fill="auto"/>
            <w:noWrap/>
            <w:vAlign w:val="bottom"/>
          </w:tcPr>
          <w:p w14:paraId="36398F59" w14:textId="77777777" w:rsidR="007628C7" w:rsidRPr="009F25CF" w:rsidRDefault="007628C7" w:rsidP="007628C7">
            <w:pPr>
              <w:spacing w:before="0"/>
              <w:ind w:left="0" w:firstLine="0"/>
              <w:jc w:val="left"/>
              <w:rPr>
                <w:rFonts w:ascii="Comic Sans MS" w:eastAsia="Times New Roman" w:hAnsi="Comic Sans MS" w:cs="Calibri"/>
                <w:color w:val="000000"/>
                <w:lang w:eastAsia="fr-FR"/>
              </w:rPr>
            </w:pPr>
          </w:p>
        </w:tc>
        <w:tc>
          <w:tcPr>
            <w:tcW w:w="7109" w:type="dxa"/>
            <w:gridSpan w:val="5"/>
          </w:tcPr>
          <w:p w14:paraId="03AB240D" w14:textId="588D9598" w:rsidR="007628C7" w:rsidRPr="009F25CF" w:rsidRDefault="007628C7" w:rsidP="007628C7">
            <w:pPr>
              <w:spacing w:before="0"/>
              <w:ind w:left="0" w:firstLine="0"/>
              <w:jc w:val="center"/>
              <w:rPr>
                <w:rFonts w:ascii="Comic Sans MS" w:eastAsia="Times New Roman" w:hAnsi="Comic Sans MS" w:cs="Calibri"/>
                <w:b/>
                <w:bCs/>
                <w:color w:val="000000"/>
                <w:lang w:eastAsia="fr-FR"/>
              </w:rPr>
            </w:pPr>
            <w:r w:rsidRPr="009F25CF">
              <w:rPr>
                <w:rFonts w:ascii="Comic Sans MS" w:eastAsia="Times New Roman" w:hAnsi="Comic Sans MS" w:cs="Calibri"/>
                <w:color w:val="000000"/>
                <w:lang w:eastAsia="fr-FR"/>
              </w:rPr>
              <w:t>Kt CO</w:t>
            </w:r>
            <w:r w:rsidRPr="009F25CF">
              <w:rPr>
                <w:rFonts w:ascii="Comic Sans MS" w:eastAsia="Times New Roman" w:hAnsi="Comic Sans MS" w:cs="Calibri"/>
                <w:color w:val="000000"/>
                <w:vertAlign w:val="subscript"/>
                <w:lang w:eastAsia="fr-FR"/>
              </w:rPr>
              <w:t>2</w:t>
            </w:r>
          </w:p>
        </w:tc>
      </w:tr>
      <w:tr w:rsidR="007628C7" w:rsidRPr="001320CB" w14:paraId="0247E584" w14:textId="77777777" w:rsidTr="007628C7">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3EAD7" w14:textId="77777777" w:rsidR="007628C7" w:rsidRPr="001320CB" w:rsidRDefault="007628C7" w:rsidP="007628C7">
            <w:pPr>
              <w:spacing w:before="0"/>
              <w:ind w:left="0" w:firstLine="0"/>
              <w:jc w:val="left"/>
              <w:rPr>
                <w:rFonts w:ascii="Comic Sans MS" w:eastAsia="Times New Roman" w:hAnsi="Comic Sans MS" w:cs="Calibri"/>
                <w:b/>
                <w:bCs/>
                <w:color w:val="000000"/>
                <w:lang w:eastAsia="fr-FR"/>
              </w:rPr>
            </w:pPr>
            <w:r w:rsidRPr="001320CB">
              <w:rPr>
                <w:rFonts w:ascii="Comic Sans MS" w:eastAsia="Times New Roman" w:hAnsi="Comic Sans MS" w:cs="Calibri"/>
                <w:b/>
                <w:bCs/>
                <w:color w:val="000000"/>
                <w:lang w:eastAsia="fr-FR"/>
              </w:rPr>
              <w:t>Ménages</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53BCE" w14:textId="77777777" w:rsidR="007628C7" w:rsidRPr="001320CB" w:rsidRDefault="007628C7" w:rsidP="007628C7">
            <w:pPr>
              <w:spacing w:before="0"/>
              <w:ind w:left="0" w:firstLine="0"/>
              <w:jc w:val="right"/>
              <w:rPr>
                <w:rFonts w:ascii="Comic Sans MS" w:eastAsia="Times New Roman" w:hAnsi="Comic Sans MS" w:cs="Calibri"/>
                <w:color w:val="000000"/>
                <w:lang w:eastAsia="fr-FR"/>
              </w:rPr>
            </w:pPr>
            <w:r w:rsidRPr="001320CB">
              <w:rPr>
                <w:rFonts w:ascii="Comic Sans MS" w:eastAsia="Times New Roman" w:hAnsi="Comic Sans MS" w:cs="Calibri"/>
                <w:color w:val="000000"/>
                <w:lang w:eastAsia="fr-FR"/>
              </w:rPr>
              <w:t>228</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37DD" w14:textId="77777777" w:rsidR="007628C7" w:rsidRPr="001320CB" w:rsidRDefault="007628C7" w:rsidP="007628C7">
            <w:pPr>
              <w:spacing w:before="0"/>
              <w:ind w:left="0" w:firstLine="0"/>
              <w:jc w:val="right"/>
              <w:rPr>
                <w:rFonts w:ascii="Comic Sans MS" w:eastAsia="Times New Roman" w:hAnsi="Comic Sans MS" w:cs="Calibri"/>
                <w:color w:val="000000"/>
                <w:lang w:eastAsia="fr-FR"/>
              </w:rPr>
            </w:pPr>
            <w:r w:rsidRPr="001320CB">
              <w:rPr>
                <w:rFonts w:ascii="Comic Sans MS" w:eastAsia="Times New Roman" w:hAnsi="Comic Sans MS" w:cs="Calibri"/>
                <w:color w:val="000000"/>
                <w:lang w:eastAsia="fr-FR"/>
              </w:rPr>
              <w:t>291</w:t>
            </w:r>
          </w:p>
        </w:tc>
        <w:tc>
          <w:tcPr>
            <w:tcW w:w="1250" w:type="dxa"/>
            <w:tcBorders>
              <w:top w:val="single" w:sz="4" w:space="0" w:color="auto"/>
              <w:left w:val="single" w:sz="4" w:space="0" w:color="auto"/>
              <w:bottom w:val="single" w:sz="4" w:space="0" w:color="auto"/>
              <w:right w:val="single" w:sz="4" w:space="0" w:color="auto"/>
            </w:tcBorders>
            <w:vAlign w:val="bottom"/>
          </w:tcPr>
          <w:p w14:paraId="31C6DA3A" w14:textId="1BE5A88B" w:rsidR="007628C7" w:rsidRPr="001320CB" w:rsidRDefault="007628C7" w:rsidP="007628C7">
            <w:pPr>
              <w:spacing w:before="0"/>
              <w:ind w:left="0" w:firstLine="0"/>
              <w:jc w:val="right"/>
              <w:rPr>
                <w:rFonts w:ascii="Comic Sans MS" w:eastAsia="Times New Roman" w:hAnsi="Comic Sans MS" w:cs="Calibri"/>
                <w:color w:val="000000"/>
                <w:lang w:eastAsia="fr-FR"/>
              </w:rPr>
            </w:pPr>
            <w:r w:rsidRPr="001320CB">
              <w:rPr>
                <w:rFonts w:ascii="Comic Sans MS" w:eastAsia="Times New Roman" w:hAnsi="Comic Sans MS" w:cs="Calibri"/>
                <w:color w:val="000000"/>
                <w:lang w:eastAsia="fr-FR"/>
              </w:rPr>
              <w:t>-274</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FCD95" w14:textId="547FA0D4" w:rsidR="007628C7" w:rsidRPr="001320CB" w:rsidRDefault="007628C7" w:rsidP="007628C7">
            <w:pPr>
              <w:spacing w:before="0"/>
              <w:ind w:left="0" w:firstLine="0"/>
              <w:jc w:val="right"/>
              <w:rPr>
                <w:rFonts w:ascii="Comic Sans MS" w:eastAsia="Times New Roman" w:hAnsi="Comic Sans MS" w:cs="Calibri"/>
                <w:color w:val="000000"/>
                <w:lang w:eastAsia="fr-FR"/>
              </w:rPr>
            </w:pPr>
            <w:r w:rsidRPr="001320CB">
              <w:rPr>
                <w:rFonts w:ascii="Comic Sans MS" w:eastAsia="Times New Roman" w:hAnsi="Comic Sans MS" w:cs="Calibri"/>
                <w:color w:val="000000"/>
                <w:lang w:eastAsia="fr-FR"/>
              </w:rPr>
              <w:t>-333</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EC517" w14:textId="3F49D808" w:rsidR="007628C7" w:rsidRPr="001320CB" w:rsidRDefault="007628C7" w:rsidP="007628C7">
            <w:pPr>
              <w:spacing w:before="0"/>
              <w:ind w:left="0" w:firstLine="0"/>
              <w:jc w:val="right"/>
              <w:rPr>
                <w:rFonts w:ascii="Comic Sans MS" w:eastAsia="Times New Roman" w:hAnsi="Comic Sans MS" w:cs="Calibri"/>
                <w:color w:val="000000"/>
                <w:lang w:eastAsia="fr-FR"/>
              </w:rPr>
            </w:pPr>
            <w:r w:rsidRPr="001320CB">
              <w:rPr>
                <w:rFonts w:ascii="Comic Sans MS" w:eastAsia="Times New Roman" w:hAnsi="Comic Sans MS" w:cs="Calibri"/>
                <w:color w:val="000000"/>
                <w:lang w:eastAsia="fr-FR"/>
              </w:rPr>
              <w:t>-723</w:t>
            </w:r>
          </w:p>
        </w:tc>
      </w:tr>
    </w:tbl>
    <w:p w14:paraId="796AB391" w14:textId="77777777" w:rsidR="000D0E11" w:rsidRPr="009F25CF" w:rsidRDefault="000D0E11" w:rsidP="00415DDE">
      <w:pPr>
        <w:spacing w:before="0"/>
        <w:rPr>
          <w:rFonts w:ascii="Comic Sans MS" w:hAnsi="Comic Sans MS"/>
          <w:lang w:val="fr-BE" w:eastAsia="fr-FR"/>
        </w:rPr>
      </w:pPr>
    </w:p>
    <w:p w14:paraId="5AF1BE1E" w14:textId="77777777" w:rsidR="007628C7" w:rsidRDefault="007628C7" w:rsidP="00BA3DC5">
      <w:pPr>
        <w:spacing w:before="0"/>
        <w:ind w:left="0" w:firstLine="0"/>
        <w:rPr>
          <w:rFonts w:ascii="Comic Sans MS" w:eastAsiaTheme="minorHAnsi" w:hAnsi="Comic Sans MS" w:cs="Calibri"/>
          <w:sz w:val="24"/>
          <w:szCs w:val="24"/>
        </w:rPr>
      </w:pPr>
    </w:p>
    <w:p w14:paraId="2A37E0B1" w14:textId="77777777" w:rsidR="007628C7" w:rsidRDefault="007628C7" w:rsidP="00BA3DC5">
      <w:pPr>
        <w:spacing w:before="0"/>
        <w:ind w:left="0" w:firstLine="0"/>
        <w:rPr>
          <w:rFonts w:ascii="Comic Sans MS" w:eastAsiaTheme="minorHAnsi" w:hAnsi="Comic Sans MS" w:cs="Calibri"/>
          <w:sz w:val="24"/>
          <w:szCs w:val="24"/>
        </w:rPr>
      </w:pPr>
    </w:p>
    <w:p w14:paraId="53699E95" w14:textId="77777777" w:rsidR="007628C7" w:rsidRDefault="007628C7" w:rsidP="00BA3DC5">
      <w:pPr>
        <w:spacing w:before="0"/>
        <w:ind w:left="0" w:firstLine="0"/>
        <w:rPr>
          <w:rFonts w:ascii="Comic Sans MS" w:eastAsiaTheme="minorHAnsi" w:hAnsi="Comic Sans MS" w:cs="Calibri"/>
          <w:sz w:val="24"/>
          <w:szCs w:val="24"/>
        </w:rPr>
      </w:pPr>
    </w:p>
    <w:p w14:paraId="09A79DDB" w14:textId="77777777" w:rsidR="007628C7" w:rsidRDefault="007628C7" w:rsidP="00BA3DC5">
      <w:pPr>
        <w:spacing w:before="0"/>
        <w:ind w:left="0" w:firstLine="0"/>
        <w:rPr>
          <w:rFonts w:ascii="Comic Sans MS" w:eastAsiaTheme="minorHAnsi" w:hAnsi="Comic Sans MS" w:cs="Calibri"/>
          <w:sz w:val="24"/>
          <w:szCs w:val="24"/>
        </w:rPr>
      </w:pPr>
    </w:p>
    <w:p w14:paraId="324EC726" w14:textId="77777777" w:rsidR="007628C7" w:rsidRDefault="007628C7" w:rsidP="00BA3DC5">
      <w:pPr>
        <w:spacing w:before="0"/>
        <w:ind w:left="0" w:firstLine="0"/>
        <w:rPr>
          <w:rFonts w:ascii="Comic Sans MS" w:eastAsiaTheme="minorHAnsi" w:hAnsi="Comic Sans MS" w:cs="Calibri"/>
          <w:sz w:val="24"/>
          <w:szCs w:val="24"/>
        </w:rPr>
      </w:pPr>
    </w:p>
    <w:p w14:paraId="5423BFC9" w14:textId="77777777" w:rsidR="007628C7" w:rsidRDefault="007628C7" w:rsidP="00BA3DC5">
      <w:pPr>
        <w:spacing w:before="0"/>
        <w:ind w:left="0" w:firstLine="0"/>
        <w:rPr>
          <w:rFonts w:ascii="Comic Sans MS" w:eastAsiaTheme="minorHAnsi" w:hAnsi="Comic Sans MS" w:cs="Calibri"/>
          <w:sz w:val="24"/>
          <w:szCs w:val="24"/>
        </w:rPr>
      </w:pPr>
    </w:p>
    <w:p w14:paraId="4EAB243C" w14:textId="77777777" w:rsidR="007628C7" w:rsidRDefault="007628C7" w:rsidP="00BA3DC5">
      <w:pPr>
        <w:spacing w:before="0"/>
        <w:ind w:left="0" w:firstLine="0"/>
        <w:rPr>
          <w:rFonts w:ascii="Comic Sans MS" w:eastAsiaTheme="minorHAnsi" w:hAnsi="Comic Sans MS" w:cs="Calibri"/>
          <w:sz w:val="24"/>
          <w:szCs w:val="24"/>
        </w:rPr>
      </w:pPr>
    </w:p>
    <w:p w14:paraId="27F7B4A6" w14:textId="7769B71B" w:rsidR="007628C7" w:rsidRDefault="007628C7" w:rsidP="007628C7">
      <w:pPr>
        <w:spacing w:before="0"/>
        <w:ind w:left="0" w:firstLine="0"/>
        <w:jc w:val="center"/>
        <w:rPr>
          <w:rFonts w:ascii="Comic Sans MS" w:eastAsiaTheme="minorHAnsi" w:hAnsi="Comic Sans MS" w:cs="Calibri"/>
          <w:sz w:val="24"/>
          <w:szCs w:val="24"/>
        </w:rPr>
      </w:pPr>
      <w:r>
        <w:rPr>
          <w:noProof/>
        </w:rPr>
        <w:lastRenderedPageBreak/>
        <w:drawing>
          <wp:inline distT="0" distB="0" distL="0" distR="0" wp14:anchorId="2DA28CDB" wp14:editId="500285C0">
            <wp:extent cx="4572000" cy="2743200"/>
            <wp:effectExtent l="0" t="0" r="0" b="0"/>
            <wp:docPr id="581221158" name="Graphique 1">
              <a:extLst xmlns:a="http://schemas.openxmlformats.org/drawingml/2006/main">
                <a:ext uri="{FF2B5EF4-FFF2-40B4-BE49-F238E27FC236}">
                  <a16:creationId xmlns:a16="http://schemas.microsoft.com/office/drawing/2014/main" id="{0009CCFD-8333-14B1-C88F-CD48F28F23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280A19" w14:textId="77777777" w:rsidR="007628C7" w:rsidRDefault="007628C7" w:rsidP="00BA3DC5">
      <w:pPr>
        <w:spacing w:before="0"/>
        <w:ind w:left="0" w:firstLine="0"/>
        <w:rPr>
          <w:rFonts w:ascii="Comic Sans MS" w:eastAsiaTheme="minorHAnsi" w:hAnsi="Comic Sans MS" w:cs="Calibri"/>
          <w:sz w:val="24"/>
          <w:szCs w:val="24"/>
        </w:rPr>
      </w:pPr>
    </w:p>
    <w:p w14:paraId="1DC9EB82" w14:textId="11120146" w:rsidR="00885D62" w:rsidRPr="009F25CF" w:rsidRDefault="00B56210" w:rsidP="003B76B6">
      <w:pPr>
        <w:spacing w:before="0"/>
        <w:ind w:left="0" w:firstLine="0"/>
        <w:rPr>
          <w:rFonts w:ascii="Comic Sans MS" w:eastAsiaTheme="minorHAnsi" w:hAnsi="Comic Sans MS" w:cs="Calibri"/>
          <w:sz w:val="24"/>
          <w:szCs w:val="24"/>
        </w:rPr>
      </w:pPr>
      <w:r w:rsidRPr="009F25CF">
        <w:rPr>
          <w:rFonts w:ascii="Comic Sans MS" w:eastAsiaTheme="minorHAnsi" w:hAnsi="Comic Sans MS" w:cs="Calibri"/>
          <w:sz w:val="24"/>
          <w:szCs w:val="24"/>
        </w:rPr>
        <w:t>Le bilan du s</w:t>
      </w:r>
      <w:r w:rsidR="0072721A" w:rsidRPr="009F25CF">
        <w:rPr>
          <w:rFonts w:ascii="Comic Sans MS" w:eastAsiaTheme="minorHAnsi" w:hAnsi="Comic Sans MS" w:cs="Calibri"/>
          <w:sz w:val="24"/>
          <w:szCs w:val="24"/>
        </w:rPr>
        <w:t xml:space="preserve">cénario avec mesures d’atténuations, </w:t>
      </w:r>
      <w:r w:rsidR="002A633F" w:rsidRPr="009F25CF">
        <w:rPr>
          <w:rFonts w:ascii="Comic Sans MS" w:eastAsiaTheme="minorHAnsi" w:hAnsi="Comic Sans MS" w:cs="Calibri"/>
          <w:sz w:val="24"/>
          <w:szCs w:val="24"/>
        </w:rPr>
        <w:t xml:space="preserve">a démontré </w:t>
      </w:r>
      <w:r w:rsidR="003B76B6">
        <w:rPr>
          <w:rFonts w:ascii="Comic Sans MS" w:eastAsiaTheme="minorHAnsi" w:hAnsi="Comic Sans MS" w:cs="Calibri"/>
          <w:sz w:val="24"/>
          <w:szCs w:val="24"/>
        </w:rPr>
        <w:t xml:space="preserve">que </w:t>
      </w:r>
      <w:r w:rsidR="007628C7">
        <w:rPr>
          <w:rFonts w:ascii="Comic Sans MS" w:eastAsiaTheme="minorHAnsi" w:hAnsi="Comic Sans MS" w:cs="Calibri"/>
          <w:sz w:val="24"/>
          <w:szCs w:val="24"/>
        </w:rPr>
        <w:t xml:space="preserve">les émissions du sous-secteur énergies résidentielles conteront une très importante réduction des émissions à partir de 2025 avec le démarrage effective des mesures d’atténuation du sous-secteur. </w:t>
      </w:r>
      <w:r w:rsidR="002A633F" w:rsidRPr="009F25CF">
        <w:rPr>
          <w:rFonts w:ascii="Comic Sans MS" w:eastAsiaTheme="minorHAnsi" w:hAnsi="Comic Sans MS" w:cs="Calibri"/>
          <w:sz w:val="24"/>
          <w:szCs w:val="24"/>
        </w:rPr>
        <w:t>La tendance de</w:t>
      </w:r>
      <w:r w:rsidR="003B76B6">
        <w:rPr>
          <w:rFonts w:ascii="Comic Sans MS" w:eastAsiaTheme="minorHAnsi" w:hAnsi="Comic Sans MS" w:cs="Calibri"/>
          <w:sz w:val="24"/>
          <w:szCs w:val="24"/>
        </w:rPr>
        <w:t>s réductions des émissions v</w:t>
      </w:r>
      <w:r w:rsidR="002A633F" w:rsidRPr="009F25CF">
        <w:rPr>
          <w:rFonts w:ascii="Comic Sans MS" w:eastAsiaTheme="minorHAnsi" w:hAnsi="Comic Sans MS" w:cs="Calibri"/>
          <w:sz w:val="24"/>
          <w:szCs w:val="24"/>
        </w:rPr>
        <w:t xml:space="preserve">a </w:t>
      </w:r>
      <w:r w:rsidR="003B76B6">
        <w:rPr>
          <w:rFonts w:ascii="Comic Sans MS" w:eastAsiaTheme="minorHAnsi" w:hAnsi="Comic Sans MS" w:cs="Calibri"/>
          <w:sz w:val="24"/>
          <w:szCs w:val="24"/>
        </w:rPr>
        <w:t xml:space="preserve">atteindre son apogée en 2050 avec une valeur équivalente à celle du scénario de référence « sans mesures ». </w:t>
      </w:r>
    </w:p>
    <w:p w14:paraId="09F6CA12" w14:textId="77777777" w:rsidR="00885D62" w:rsidRPr="009F25CF" w:rsidRDefault="00885D62" w:rsidP="00BA3DC5">
      <w:pPr>
        <w:spacing w:before="0"/>
        <w:ind w:left="0" w:firstLine="0"/>
        <w:rPr>
          <w:rFonts w:ascii="Comic Sans MS" w:eastAsiaTheme="minorHAnsi" w:hAnsi="Comic Sans MS" w:cs="Calibri"/>
          <w:sz w:val="24"/>
          <w:szCs w:val="24"/>
        </w:rPr>
      </w:pPr>
    </w:p>
    <w:p w14:paraId="6DDA07C7" w14:textId="77777777" w:rsidR="00F54047" w:rsidRDefault="003B4CEF" w:rsidP="001D3BDD">
      <w:pPr>
        <w:adjustRightInd w:val="0"/>
        <w:spacing w:before="0" w:after="120"/>
        <w:ind w:left="0" w:firstLine="0"/>
        <w:rPr>
          <w:rFonts w:ascii="Comic Sans MS" w:eastAsiaTheme="minorHAnsi" w:hAnsi="Comic Sans MS" w:cs="Calibri"/>
          <w:sz w:val="24"/>
          <w:szCs w:val="24"/>
        </w:rPr>
      </w:pPr>
      <w:r w:rsidRPr="009F25CF">
        <w:rPr>
          <w:rFonts w:ascii="Comic Sans MS" w:eastAsiaTheme="minorHAnsi" w:hAnsi="Comic Sans MS" w:cs="Calibri"/>
          <w:sz w:val="24"/>
          <w:szCs w:val="24"/>
        </w:rPr>
        <w:t>L’analyse des expériences passées a montré que le financement était l’un de principaux facteurs limitant la mise en œuvre des mesures d’atténuations des GES</w:t>
      </w:r>
      <w:r w:rsidR="003E557F">
        <w:rPr>
          <w:rFonts w:ascii="Comic Sans MS" w:eastAsiaTheme="minorHAnsi" w:hAnsi="Comic Sans MS" w:cs="Calibri"/>
          <w:sz w:val="24"/>
          <w:szCs w:val="24"/>
        </w:rPr>
        <w:t xml:space="preserve"> du sous-secteur énergies résidentielles</w:t>
      </w:r>
      <w:r w:rsidRPr="009F25CF">
        <w:rPr>
          <w:rFonts w:ascii="Comic Sans MS" w:eastAsiaTheme="minorHAnsi" w:hAnsi="Comic Sans MS" w:cs="Calibri"/>
          <w:sz w:val="24"/>
          <w:szCs w:val="24"/>
        </w:rPr>
        <w:t xml:space="preserve">. </w:t>
      </w:r>
      <w:r w:rsidR="003E557F">
        <w:rPr>
          <w:rFonts w:ascii="Comic Sans MS" w:eastAsiaTheme="minorHAnsi" w:hAnsi="Comic Sans MS" w:cs="Calibri"/>
          <w:sz w:val="24"/>
          <w:szCs w:val="24"/>
        </w:rPr>
        <w:t>L</w:t>
      </w:r>
      <w:r w:rsidRPr="009F25CF">
        <w:rPr>
          <w:rFonts w:ascii="Comic Sans MS" w:eastAsiaTheme="minorHAnsi" w:hAnsi="Comic Sans MS" w:cs="Calibri"/>
          <w:sz w:val="24"/>
          <w:szCs w:val="24"/>
        </w:rPr>
        <w:t xml:space="preserve">a disponibilité de financement </w:t>
      </w:r>
      <w:r w:rsidR="003E557F">
        <w:rPr>
          <w:rFonts w:ascii="Comic Sans MS" w:eastAsiaTheme="minorHAnsi" w:hAnsi="Comic Sans MS" w:cs="Calibri"/>
          <w:sz w:val="24"/>
          <w:szCs w:val="24"/>
        </w:rPr>
        <w:t xml:space="preserve">est une facteur limitant pour </w:t>
      </w:r>
      <w:r w:rsidRPr="009F25CF">
        <w:rPr>
          <w:rFonts w:ascii="Comic Sans MS" w:eastAsiaTheme="minorHAnsi" w:hAnsi="Comic Sans MS" w:cs="Calibri"/>
          <w:sz w:val="24"/>
          <w:szCs w:val="24"/>
        </w:rPr>
        <w:t xml:space="preserve">surmonter les obstacles </w:t>
      </w:r>
      <w:r w:rsidR="003E557F">
        <w:rPr>
          <w:rFonts w:ascii="Comic Sans MS" w:eastAsiaTheme="minorHAnsi" w:hAnsi="Comic Sans MS" w:cs="Calibri"/>
          <w:sz w:val="24"/>
          <w:szCs w:val="24"/>
        </w:rPr>
        <w:t xml:space="preserve">encore posés pour la bon mise en œuvre des mesures d’atténuation du sous-secteur énergies résidentielles à savoir </w:t>
      </w:r>
      <w:r w:rsidR="000A342F">
        <w:rPr>
          <w:rFonts w:ascii="Comic Sans MS" w:eastAsiaTheme="minorHAnsi" w:hAnsi="Comic Sans MS" w:cs="Calibri"/>
          <w:sz w:val="24"/>
          <w:szCs w:val="24"/>
        </w:rPr>
        <w:t xml:space="preserve">: </w:t>
      </w:r>
    </w:p>
    <w:p w14:paraId="41B0EB70" w14:textId="3B45008E" w:rsidR="00F54047" w:rsidRPr="00F54047" w:rsidRDefault="000A342F">
      <w:pPr>
        <w:pStyle w:val="Paragraphedeliste"/>
        <w:numPr>
          <w:ilvl w:val="1"/>
          <w:numId w:val="7"/>
        </w:numPr>
        <w:adjustRightInd w:val="0"/>
        <w:spacing w:before="0"/>
        <w:ind w:left="709" w:hanging="567"/>
        <w:rPr>
          <w:rFonts w:ascii="Comic Sans MS" w:eastAsiaTheme="minorHAnsi" w:hAnsi="Comic Sans MS" w:cs="Calibri"/>
        </w:rPr>
      </w:pPr>
      <w:r w:rsidRPr="00F54047">
        <w:rPr>
          <w:rFonts w:ascii="Comic Sans MS" w:eastAsiaTheme="minorHAnsi" w:hAnsi="Comic Sans MS" w:cs="Calibri"/>
        </w:rPr>
        <w:t>le manque d’infrastructures</w:t>
      </w:r>
      <w:r w:rsidR="003B76B6" w:rsidRPr="00F54047">
        <w:rPr>
          <w:rFonts w:ascii="Comic Sans MS" w:eastAsiaTheme="minorHAnsi" w:hAnsi="Comic Sans MS" w:cs="Calibri"/>
        </w:rPr>
        <w:t xml:space="preserve"> </w:t>
      </w:r>
      <w:r w:rsidRPr="00F54047">
        <w:rPr>
          <w:rFonts w:ascii="Comic Sans MS" w:eastAsiaTheme="minorHAnsi" w:hAnsi="Comic Sans MS" w:cs="Calibri"/>
        </w:rPr>
        <w:t xml:space="preserve">de </w:t>
      </w:r>
      <w:r w:rsidR="003B76B6" w:rsidRPr="00F54047">
        <w:rPr>
          <w:rFonts w:ascii="Comic Sans MS" w:eastAsiaTheme="minorHAnsi" w:hAnsi="Comic Sans MS" w:cs="Calibri"/>
        </w:rPr>
        <w:t>stockage</w:t>
      </w:r>
      <w:r w:rsidRPr="00F54047">
        <w:rPr>
          <w:rFonts w:ascii="Comic Sans MS" w:eastAsiaTheme="minorHAnsi" w:hAnsi="Comic Sans MS" w:cs="Calibri"/>
        </w:rPr>
        <w:t>, d’</w:t>
      </w:r>
      <w:r w:rsidR="003B76B6" w:rsidRPr="00F54047">
        <w:rPr>
          <w:rFonts w:ascii="Comic Sans MS" w:eastAsiaTheme="minorHAnsi" w:hAnsi="Comic Sans MS" w:cs="Calibri"/>
        </w:rPr>
        <w:t>enfutage</w:t>
      </w:r>
      <w:r w:rsidRPr="00F54047">
        <w:rPr>
          <w:rFonts w:ascii="Comic Sans MS" w:eastAsiaTheme="minorHAnsi" w:hAnsi="Comic Sans MS" w:cs="Calibri"/>
        </w:rPr>
        <w:t xml:space="preserve"> et de recharge</w:t>
      </w:r>
      <w:r w:rsidR="003E557F" w:rsidRPr="00F54047">
        <w:rPr>
          <w:rFonts w:ascii="Comic Sans MS" w:eastAsiaTheme="minorHAnsi" w:hAnsi="Comic Sans MS" w:cs="Calibri"/>
        </w:rPr>
        <w:t xml:space="preserve"> du gaz butane d’une part et </w:t>
      </w:r>
      <w:r w:rsidR="00F54047" w:rsidRPr="00F54047">
        <w:rPr>
          <w:rFonts w:ascii="Comic Sans MS" w:eastAsiaTheme="minorHAnsi" w:hAnsi="Comic Sans MS" w:cs="Calibri"/>
        </w:rPr>
        <w:t>de</w:t>
      </w:r>
      <w:r w:rsidR="003E557F" w:rsidRPr="00F54047">
        <w:rPr>
          <w:rFonts w:ascii="Comic Sans MS" w:eastAsiaTheme="minorHAnsi" w:hAnsi="Comic Sans MS" w:cs="Calibri"/>
        </w:rPr>
        <w:t xml:space="preserve">s </w:t>
      </w:r>
      <w:r w:rsidR="00F54047" w:rsidRPr="00F54047">
        <w:rPr>
          <w:rFonts w:ascii="Comic Sans MS" w:eastAsiaTheme="minorHAnsi" w:hAnsi="Comic Sans MS" w:cs="Calibri"/>
        </w:rPr>
        <w:t xml:space="preserve">usines </w:t>
      </w:r>
      <w:r w:rsidR="003E557F" w:rsidRPr="00F54047">
        <w:rPr>
          <w:rFonts w:ascii="Comic Sans MS" w:eastAsiaTheme="minorHAnsi" w:hAnsi="Comic Sans MS" w:cs="Calibri"/>
        </w:rPr>
        <w:t xml:space="preserve">et ateliers </w:t>
      </w:r>
      <w:r w:rsidR="00F54047" w:rsidRPr="00F54047">
        <w:rPr>
          <w:rFonts w:ascii="Comic Sans MS" w:eastAsiaTheme="minorHAnsi" w:hAnsi="Comic Sans MS" w:cs="Calibri"/>
        </w:rPr>
        <w:t>de fabrication des foyers améliorés d’autre part</w:t>
      </w:r>
      <w:r w:rsidRPr="00F54047">
        <w:rPr>
          <w:rFonts w:ascii="Comic Sans MS" w:eastAsiaTheme="minorHAnsi" w:hAnsi="Comic Sans MS" w:cs="Calibri"/>
        </w:rPr>
        <w:t xml:space="preserve">, </w:t>
      </w:r>
    </w:p>
    <w:p w14:paraId="3B6BB868" w14:textId="77777777" w:rsidR="00F54047" w:rsidRDefault="003B76B6">
      <w:pPr>
        <w:pStyle w:val="Paragraphedeliste"/>
        <w:numPr>
          <w:ilvl w:val="1"/>
          <w:numId w:val="7"/>
        </w:numPr>
        <w:adjustRightInd w:val="0"/>
        <w:spacing w:before="0"/>
        <w:ind w:left="709" w:hanging="567"/>
        <w:rPr>
          <w:rFonts w:ascii="Comic Sans MS" w:eastAsiaTheme="minorHAnsi" w:hAnsi="Comic Sans MS" w:cs="Calibri"/>
        </w:rPr>
      </w:pPr>
      <w:r w:rsidRPr="00F54047">
        <w:rPr>
          <w:rFonts w:ascii="Comic Sans MS" w:eastAsiaTheme="minorHAnsi" w:hAnsi="Comic Sans MS" w:cs="Calibri"/>
        </w:rPr>
        <w:t xml:space="preserve">la disponibilité des </w:t>
      </w:r>
      <w:r w:rsidR="000A342F" w:rsidRPr="00F54047">
        <w:rPr>
          <w:rFonts w:ascii="Comic Sans MS" w:eastAsiaTheme="minorHAnsi" w:hAnsi="Comic Sans MS" w:cs="Calibri"/>
        </w:rPr>
        <w:t>bonbonnes</w:t>
      </w:r>
      <w:r w:rsidRPr="00F54047">
        <w:rPr>
          <w:rFonts w:ascii="Comic Sans MS" w:eastAsiaTheme="minorHAnsi" w:hAnsi="Comic Sans MS" w:cs="Calibri"/>
        </w:rPr>
        <w:t xml:space="preserve"> de gaz de </w:t>
      </w:r>
      <w:r w:rsidR="00F54047" w:rsidRPr="00F54047">
        <w:rPr>
          <w:rFonts w:ascii="Comic Sans MS" w:eastAsiaTheme="minorHAnsi" w:hAnsi="Comic Sans MS" w:cs="Calibri"/>
        </w:rPr>
        <w:t xml:space="preserve">et des foyers améliorés de </w:t>
      </w:r>
      <w:r w:rsidRPr="00F54047">
        <w:rPr>
          <w:rFonts w:ascii="Comic Sans MS" w:eastAsiaTheme="minorHAnsi" w:hAnsi="Comic Sans MS" w:cs="Calibri"/>
        </w:rPr>
        <w:t>différentes qualité</w:t>
      </w:r>
      <w:r w:rsidR="000A342F" w:rsidRPr="00F54047">
        <w:rPr>
          <w:rFonts w:ascii="Comic Sans MS" w:eastAsiaTheme="minorHAnsi" w:hAnsi="Comic Sans MS" w:cs="Calibri"/>
        </w:rPr>
        <w:t>s</w:t>
      </w:r>
      <w:r w:rsidRPr="00F54047">
        <w:rPr>
          <w:rFonts w:ascii="Comic Sans MS" w:eastAsiaTheme="minorHAnsi" w:hAnsi="Comic Sans MS" w:cs="Calibri"/>
        </w:rPr>
        <w:t xml:space="preserve"> et volumes</w:t>
      </w:r>
      <w:r w:rsidR="003E557F" w:rsidRPr="00F54047">
        <w:rPr>
          <w:rFonts w:ascii="Comic Sans MS" w:eastAsiaTheme="minorHAnsi" w:hAnsi="Comic Sans MS" w:cs="Calibri"/>
        </w:rPr>
        <w:t xml:space="preserve">, </w:t>
      </w:r>
    </w:p>
    <w:p w14:paraId="16D6EC38" w14:textId="77777777" w:rsidR="001D3BDD" w:rsidRDefault="00F54047">
      <w:pPr>
        <w:pStyle w:val="Paragraphedeliste"/>
        <w:numPr>
          <w:ilvl w:val="1"/>
          <w:numId w:val="7"/>
        </w:numPr>
        <w:adjustRightInd w:val="0"/>
        <w:spacing w:before="0"/>
        <w:ind w:left="709" w:hanging="567"/>
        <w:rPr>
          <w:rFonts w:ascii="Comic Sans MS" w:eastAsiaTheme="minorHAnsi" w:hAnsi="Comic Sans MS" w:cs="Calibri"/>
        </w:rPr>
      </w:pPr>
      <w:r>
        <w:rPr>
          <w:rFonts w:ascii="Comic Sans MS" w:eastAsiaTheme="minorHAnsi" w:hAnsi="Comic Sans MS" w:cs="Calibri"/>
        </w:rPr>
        <w:t>la faiblisse d</w:t>
      </w:r>
      <w:r w:rsidR="000A342F" w:rsidRPr="00F54047">
        <w:rPr>
          <w:rFonts w:ascii="Comic Sans MS" w:eastAsiaTheme="minorHAnsi" w:hAnsi="Comic Sans MS" w:cs="Calibri"/>
        </w:rPr>
        <w:t xml:space="preserve">u mécanisme de distribution </w:t>
      </w:r>
      <w:r w:rsidRPr="00F54047">
        <w:rPr>
          <w:rFonts w:ascii="Comic Sans MS" w:eastAsiaTheme="minorHAnsi" w:hAnsi="Comic Sans MS" w:cs="Calibri"/>
        </w:rPr>
        <w:t xml:space="preserve">et </w:t>
      </w:r>
      <w:r>
        <w:rPr>
          <w:rFonts w:ascii="Comic Sans MS" w:eastAsiaTheme="minorHAnsi" w:hAnsi="Comic Sans MS" w:cs="Calibri"/>
        </w:rPr>
        <w:t xml:space="preserve">de </w:t>
      </w:r>
      <w:r w:rsidRPr="00F54047">
        <w:rPr>
          <w:rFonts w:ascii="Comic Sans MS" w:eastAsiaTheme="minorHAnsi" w:hAnsi="Comic Sans MS" w:cs="Calibri"/>
        </w:rPr>
        <w:t xml:space="preserve">commercialisation des foyers améliorés et des bonbonnes de gaz butane </w:t>
      </w:r>
      <w:r>
        <w:rPr>
          <w:rFonts w:ascii="Comic Sans MS" w:eastAsiaTheme="minorHAnsi" w:hAnsi="Comic Sans MS" w:cs="Calibri"/>
        </w:rPr>
        <w:t>à la suite de l’insuffisance d</w:t>
      </w:r>
      <w:r w:rsidR="000A342F" w:rsidRPr="00F54047">
        <w:rPr>
          <w:rFonts w:ascii="Comic Sans MS" w:eastAsiaTheme="minorHAnsi" w:hAnsi="Comic Sans MS" w:cs="Calibri"/>
        </w:rPr>
        <w:t xml:space="preserve">es citernes </w:t>
      </w:r>
      <w:r w:rsidR="001D3BDD" w:rsidRPr="00F54047">
        <w:rPr>
          <w:rFonts w:ascii="Comic Sans MS" w:eastAsiaTheme="minorHAnsi" w:hAnsi="Comic Sans MS" w:cs="Calibri"/>
        </w:rPr>
        <w:t xml:space="preserve">du gaz butane </w:t>
      </w:r>
      <w:r w:rsidR="000A342F" w:rsidRPr="00F54047">
        <w:rPr>
          <w:rFonts w:ascii="Comic Sans MS" w:eastAsiaTheme="minorHAnsi" w:hAnsi="Comic Sans MS" w:cs="Calibri"/>
        </w:rPr>
        <w:t xml:space="preserve">et </w:t>
      </w:r>
      <w:r w:rsidR="001D3BDD">
        <w:rPr>
          <w:rFonts w:ascii="Comic Sans MS" w:eastAsiaTheme="minorHAnsi" w:hAnsi="Comic Sans MS" w:cs="Calibri"/>
        </w:rPr>
        <w:t xml:space="preserve">des moyens de </w:t>
      </w:r>
      <w:r w:rsidR="000A342F" w:rsidRPr="00F54047">
        <w:rPr>
          <w:rFonts w:ascii="Comic Sans MS" w:eastAsiaTheme="minorHAnsi" w:hAnsi="Comic Sans MS" w:cs="Calibri"/>
        </w:rPr>
        <w:t xml:space="preserve">transport </w:t>
      </w:r>
      <w:r w:rsidR="003E557F" w:rsidRPr="00F54047">
        <w:rPr>
          <w:rFonts w:ascii="Comic Sans MS" w:eastAsiaTheme="minorHAnsi" w:hAnsi="Comic Sans MS" w:cs="Calibri"/>
        </w:rPr>
        <w:t xml:space="preserve">pour approvisionner les ménages en bonbonnes de gaz </w:t>
      </w:r>
      <w:r w:rsidR="001D3BDD">
        <w:rPr>
          <w:rFonts w:ascii="Comic Sans MS" w:eastAsiaTheme="minorHAnsi" w:hAnsi="Comic Sans MS" w:cs="Calibri"/>
        </w:rPr>
        <w:t xml:space="preserve">et foyers améliorés </w:t>
      </w:r>
      <w:r w:rsidR="003E557F" w:rsidRPr="00F54047">
        <w:rPr>
          <w:rFonts w:ascii="Comic Sans MS" w:eastAsiaTheme="minorHAnsi" w:hAnsi="Comic Sans MS" w:cs="Calibri"/>
        </w:rPr>
        <w:t>sur t</w:t>
      </w:r>
      <w:r w:rsidR="000A342F" w:rsidRPr="00F54047">
        <w:rPr>
          <w:rFonts w:ascii="Comic Sans MS" w:eastAsiaTheme="minorHAnsi" w:hAnsi="Comic Sans MS" w:cs="Calibri"/>
        </w:rPr>
        <w:t xml:space="preserve">out l’étendue du territoire national. </w:t>
      </w:r>
    </w:p>
    <w:p w14:paraId="065A2132" w14:textId="77777777" w:rsidR="00186E91" w:rsidRDefault="00186E91" w:rsidP="001D3BDD">
      <w:pPr>
        <w:adjustRightInd w:val="0"/>
        <w:spacing w:before="0"/>
        <w:ind w:left="196" w:firstLine="0"/>
        <w:rPr>
          <w:rFonts w:ascii="Comic Sans MS" w:eastAsiaTheme="minorHAnsi" w:hAnsi="Comic Sans MS" w:cs="Calibri"/>
        </w:rPr>
      </w:pPr>
    </w:p>
    <w:p w14:paraId="73C364FC" w14:textId="2B34096B" w:rsidR="003E557F" w:rsidRPr="00186E91" w:rsidRDefault="00D63B91" w:rsidP="001D3BDD">
      <w:pPr>
        <w:adjustRightInd w:val="0"/>
        <w:spacing w:before="0"/>
        <w:ind w:left="196" w:firstLine="0"/>
        <w:rPr>
          <w:rFonts w:ascii="Comic Sans MS" w:eastAsiaTheme="minorHAnsi" w:hAnsi="Comic Sans MS" w:cs="Calibri"/>
          <w:sz w:val="24"/>
          <w:szCs w:val="24"/>
        </w:rPr>
      </w:pPr>
      <w:r w:rsidRPr="00186E91">
        <w:rPr>
          <w:rFonts w:ascii="Comic Sans MS" w:eastAsiaTheme="minorHAnsi" w:hAnsi="Comic Sans MS" w:cs="Calibri"/>
          <w:sz w:val="24"/>
          <w:szCs w:val="24"/>
        </w:rPr>
        <w:t>La Mauritanie dispose actuellement u</w:t>
      </w:r>
      <w:r w:rsidR="000A342F" w:rsidRPr="00186E91">
        <w:rPr>
          <w:rFonts w:ascii="Comic Sans MS" w:eastAsiaTheme="minorHAnsi" w:hAnsi="Comic Sans MS" w:cs="Calibri"/>
          <w:sz w:val="24"/>
          <w:szCs w:val="24"/>
        </w:rPr>
        <w:t>ne très grande opportunité pour garantir l</w:t>
      </w:r>
      <w:r w:rsidRPr="00186E91">
        <w:rPr>
          <w:rFonts w:ascii="Comic Sans MS" w:eastAsiaTheme="minorHAnsi" w:hAnsi="Comic Sans MS" w:cs="Calibri"/>
          <w:sz w:val="24"/>
          <w:szCs w:val="24"/>
        </w:rPr>
        <w:t xml:space="preserve">e ravitaillement du pays en </w:t>
      </w:r>
      <w:r w:rsidR="000A342F" w:rsidRPr="00186E91">
        <w:rPr>
          <w:rFonts w:ascii="Comic Sans MS" w:eastAsiaTheme="minorHAnsi" w:hAnsi="Comic Sans MS" w:cs="Calibri"/>
          <w:sz w:val="24"/>
          <w:szCs w:val="24"/>
        </w:rPr>
        <w:t>gaz butane avec l’exploitation des gisements gaziers nationaux prévue fin 2024</w:t>
      </w:r>
      <w:r w:rsidR="003E557F" w:rsidRPr="00186E91">
        <w:rPr>
          <w:rFonts w:ascii="Comic Sans MS" w:eastAsiaTheme="minorHAnsi" w:hAnsi="Comic Sans MS" w:cs="Calibri"/>
          <w:sz w:val="24"/>
          <w:szCs w:val="24"/>
        </w:rPr>
        <w:t xml:space="preserve"> et avec la mise en place éventuel des raffineries</w:t>
      </w:r>
      <w:r w:rsidR="000A342F" w:rsidRPr="00186E91">
        <w:rPr>
          <w:rFonts w:ascii="Comic Sans MS" w:eastAsiaTheme="minorHAnsi" w:hAnsi="Comic Sans MS" w:cs="Calibri"/>
          <w:sz w:val="24"/>
          <w:szCs w:val="24"/>
        </w:rPr>
        <w:t>.</w:t>
      </w:r>
      <w:r w:rsidRPr="00186E91">
        <w:rPr>
          <w:rFonts w:ascii="Comic Sans MS" w:eastAsiaTheme="minorHAnsi" w:hAnsi="Comic Sans MS" w:cs="Calibri"/>
          <w:sz w:val="24"/>
          <w:szCs w:val="24"/>
        </w:rPr>
        <w:t xml:space="preserve"> </w:t>
      </w:r>
    </w:p>
    <w:p w14:paraId="436019D0" w14:textId="77777777" w:rsidR="003E557F" w:rsidRDefault="003E557F" w:rsidP="003B4CEF">
      <w:pPr>
        <w:adjustRightInd w:val="0"/>
        <w:spacing w:before="0"/>
        <w:ind w:left="0" w:firstLine="0"/>
        <w:rPr>
          <w:rFonts w:ascii="Comic Sans MS" w:eastAsiaTheme="minorHAnsi" w:hAnsi="Comic Sans MS" w:cs="Calibri"/>
          <w:sz w:val="24"/>
          <w:szCs w:val="24"/>
        </w:rPr>
      </w:pPr>
    </w:p>
    <w:p w14:paraId="01D3468E" w14:textId="6DF847E4" w:rsidR="003B4CEF" w:rsidRPr="009F25CF" w:rsidRDefault="00D63B91" w:rsidP="003B4CEF">
      <w:pPr>
        <w:adjustRightInd w:val="0"/>
        <w:spacing w:before="0"/>
        <w:ind w:left="0" w:firstLine="0"/>
        <w:rPr>
          <w:rFonts w:ascii="Comic Sans MS" w:hAnsi="Comic Sans MS" w:cs="Calibri"/>
          <w:sz w:val="24"/>
          <w:szCs w:val="24"/>
        </w:rPr>
      </w:pPr>
      <w:r>
        <w:rPr>
          <w:rFonts w:ascii="Comic Sans MS" w:eastAsiaTheme="minorHAnsi" w:hAnsi="Comic Sans MS" w:cs="Calibri"/>
          <w:sz w:val="24"/>
          <w:szCs w:val="24"/>
        </w:rPr>
        <w:lastRenderedPageBreak/>
        <w:t xml:space="preserve">L’Etat a fourni des très grands efforts pour encourager la politique de </w:t>
      </w:r>
      <w:proofErr w:type="spellStart"/>
      <w:r>
        <w:rPr>
          <w:rFonts w:ascii="Comic Sans MS" w:eastAsiaTheme="minorHAnsi" w:hAnsi="Comic Sans MS" w:cs="Calibri"/>
          <w:sz w:val="24"/>
          <w:szCs w:val="24"/>
        </w:rPr>
        <w:t>butanisation</w:t>
      </w:r>
      <w:proofErr w:type="spellEnd"/>
      <w:r>
        <w:rPr>
          <w:rFonts w:ascii="Comic Sans MS" w:eastAsiaTheme="minorHAnsi" w:hAnsi="Comic Sans MS" w:cs="Calibri"/>
          <w:sz w:val="24"/>
          <w:szCs w:val="24"/>
        </w:rPr>
        <w:t xml:space="preserve"> surtout avec la subvention du prix de cette énergies sur le marché local. </w:t>
      </w:r>
      <w:r w:rsidR="003E557F">
        <w:rPr>
          <w:rFonts w:ascii="Comic Sans MS" w:eastAsiaTheme="minorHAnsi" w:hAnsi="Comic Sans MS" w:cs="Calibri"/>
          <w:sz w:val="24"/>
          <w:szCs w:val="24"/>
        </w:rPr>
        <w:t xml:space="preserve">Il a également facilité la mise en place des projets pilotes de fabrication et diffusion des foyers améliorés. </w:t>
      </w:r>
      <w:r>
        <w:rPr>
          <w:rFonts w:ascii="Comic Sans MS" w:eastAsiaTheme="minorHAnsi" w:hAnsi="Comic Sans MS" w:cs="Calibri"/>
          <w:sz w:val="24"/>
          <w:szCs w:val="24"/>
        </w:rPr>
        <w:t>Néanmoins, il reste des grands efforts pour surmonter les obstacles cités ci-dessus</w:t>
      </w:r>
      <w:r w:rsidR="007D60EB">
        <w:rPr>
          <w:rFonts w:ascii="Comic Sans MS" w:eastAsiaTheme="minorHAnsi" w:hAnsi="Comic Sans MS" w:cs="Calibri"/>
          <w:sz w:val="24"/>
          <w:szCs w:val="24"/>
        </w:rPr>
        <w:t xml:space="preserve"> ce </w:t>
      </w:r>
      <w:r w:rsidR="000423E7">
        <w:rPr>
          <w:rFonts w:ascii="Comic Sans MS" w:eastAsiaTheme="minorHAnsi" w:hAnsi="Comic Sans MS" w:cs="Calibri"/>
          <w:sz w:val="24"/>
          <w:szCs w:val="24"/>
        </w:rPr>
        <w:t xml:space="preserve">qui </w:t>
      </w:r>
      <w:r w:rsidR="000423E7" w:rsidRPr="009F25CF">
        <w:rPr>
          <w:rFonts w:ascii="Comic Sans MS" w:eastAsiaTheme="minorHAnsi" w:hAnsi="Comic Sans MS" w:cs="Calibri"/>
          <w:sz w:val="24"/>
          <w:szCs w:val="24"/>
        </w:rPr>
        <w:t>exige</w:t>
      </w:r>
      <w:r w:rsidR="003B4CEF" w:rsidRPr="009F25CF">
        <w:rPr>
          <w:rFonts w:ascii="Comic Sans MS" w:eastAsiaTheme="minorHAnsi" w:hAnsi="Comic Sans MS" w:cs="Calibri"/>
          <w:sz w:val="24"/>
          <w:szCs w:val="24"/>
        </w:rPr>
        <w:t xml:space="preserve"> impérativement le recours aux financements extérieurs </w:t>
      </w:r>
      <w:r w:rsidR="007D60EB" w:rsidRPr="009F25CF">
        <w:rPr>
          <w:rFonts w:ascii="Comic Sans MS" w:eastAsiaTheme="minorHAnsi" w:hAnsi="Comic Sans MS" w:cs="Calibri"/>
          <w:sz w:val="24"/>
          <w:szCs w:val="24"/>
        </w:rPr>
        <w:t>dans le domaine de l’économie verte</w:t>
      </w:r>
      <w:r w:rsidR="007D60EB">
        <w:rPr>
          <w:rFonts w:ascii="Comic Sans MS" w:eastAsiaTheme="minorHAnsi" w:hAnsi="Comic Sans MS" w:cs="Calibri"/>
          <w:sz w:val="24"/>
          <w:szCs w:val="24"/>
        </w:rPr>
        <w:t xml:space="preserve"> ou d</w:t>
      </w:r>
      <w:r w:rsidR="000423E7">
        <w:rPr>
          <w:rFonts w:ascii="Comic Sans MS" w:eastAsiaTheme="minorHAnsi" w:hAnsi="Comic Sans MS" w:cs="Calibri"/>
          <w:sz w:val="24"/>
          <w:szCs w:val="24"/>
        </w:rPr>
        <w:t>es investissements additionnels du</w:t>
      </w:r>
      <w:r w:rsidR="007D60EB">
        <w:rPr>
          <w:rFonts w:ascii="Comic Sans MS" w:eastAsiaTheme="minorHAnsi" w:hAnsi="Comic Sans MS" w:cs="Calibri"/>
          <w:sz w:val="24"/>
          <w:szCs w:val="24"/>
        </w:rPr>
        <w:t xml:space="preserve"> secteur privé</w:t>
      </w:r>
      <w:r w:rsidR="003B4CEF" w:rsidRPr="009F25CF">
        <w:rPr>
          <w:rFonts w:ascii="Comic Sans MS" w:eastAsiaTheme="minorHAnsi" w:hAnsi="Comic Sans MS" w:cs="Calibri"/>
          <w:sz w:val="24"/>
          <w:szCs w:val="24"/>
        </w:rPr>
        <w:t xml:space="preserve">. </w:t>
      </w:r>
    </w:p>
    <w:p w14:paraId="21465775" w14:textId="77777777" w:rsidR="003B4CEF" w:rsidRPr="009F25CF" w:rsidRDefault="003B4CEF" w:rsidP="003B4CEF">
      <w:pPr>
        <w:adjustRightInd w:val="0"/>
        <w:spacing w:before="0"/>
        <w:jc w:val="lowKashida"/>
        <w:rPr>
          <w:rFonts w:ascii="Comic Sans MS" w:hAnsi="Comic Sans MS" w:cs="Calibri"/>
          <w:sz w:val="24"/>
          <w:szCs w:val="24"/>
        </w:rPr>
      </w:pPr>
    </w:p>
    <w:p w14:paraId="2295DAE1" w14:textId="4E5EAF65" w:rsidR="003B4CEF" w:rsidRPr="009F25CF" w:rsidRDefault="003B4CEF" w:rsidP="000423E7">
      <w:pPr>
        <w:adjustRightInd w:val="0"/>
        <w:spacing w:before="0" w:after="120"/>
        <w:ind w:left="0" w:firstLine="0"/>
        <w:jc w:val="lowKashida"/>
        <w:rPr>
          <w:rFonts w:ascii="Comic Sans MS" w:hAnsi="Comic Sans MS" w:cs="Calibri"/>
          <w:sz w:val="24"/>
          <w:szCs w:val="24"/>
        </w:rPr>
      </w:pPr>
      <w:r w:rsidRPr="009F25CF">
        <w:rPr>
          <w:rFonts w:ascii="Comic Sans MS" w:hAnsi="Comic Sans MS" w:cs="Calibri"/>
          <w:sz w:val="24"/>
          <w:szCs w:val="24"/>
        </w:rPr>
        <w:t>Nous avons évalué, dans le présent rapport, les coûts de la mise en œuvre de</w:t>
      </w:r>
      <w:r w:rsidR="000423E7">
        <w:rPr>
          <w:rFonts w:ascii="Comic Sans MS" w:hAnsi="Comic Sans MS" w:cs="Calibri"/>
          <w:sz w:val="24"/>
          <w:szCs w:val="24"/>
        </w:rPr>
        <w:t>s m</w:t>
      </w:r>
      <w:r w:rsidRPr="009F25CF">
        <w:rPr>
          <w:rFonts w:ascii="Comic Sans MS" w:hAnsi="Comic Sans MS" w:cs="Calibri"/>
          <w:sz w:val="24"/>
          <w:szCs w:val="24"/>
        </w:rPr>
        <w:t xml:space="preserve">esures d’atténuation des GES du sous-secteur </w:t>
      </w:r>
      <w:r w:rsidR="000423E7">
        <w:rPr>
          <w:rFonts w:ascii="Comic Sans MS" w:hAnsi="Comic Sans MS" w:cs="Calibri"/>
          <w:sz w:val="24"/>
          <w:szCs w:val="24"/>
        </w:rPr>
        <w:t>énergies résidentielles</w:t>
      </w:r>
      <w:r w:rsidRPr="009F25CF">
        <w:rPr>
          <w:rFonts w:ascii="Comic Sans MS" w:hAnsi="Comic Sans MS" w:cs="Calibri"/>
          <w:sz w:val="24"/>
          <w:szCs w:val="24"/>
        </w:rPr>
        <w:t xml:space="preserve"> prévues dans le NC5 :</w:t>
      </w:r>
    </w:p>
    <w:p w14:paraId="69FABD22" w14:textId="3C3A4D78" w:rsidR="003B4CEF" w:rsidRPr="009F25CF" w:rsidRDefault="003B4CEF">
      <w:pPr>
        <w:pStyle w:val="Paragraphedeliste"/>
        <w:numPr>
          <w:ilvl w:val="0"/>
          <w:numId w:val="16"/>
        </w:numPr>
        <w:adjustRightInd w:val="0"/>
        <w:spacing w:before="0"/>
        <w:ind w:left="284" w:hanging="284"/>
        <w:jc w:val="lowKashida"/>
        <w:rPr>
          <w:rFonts w:ascii="Comic Sans MS" w:hAnsi="Comic Sans MS" w:cstheme="minorHAnsi"/>
        </w:rPr>
      </w:pPr>
      <w:r w:rsidRPr="009F25CF">
        <w:rPr>
          <w:rFonts w:ascii="Comic Sans MS" w:eastAsiaTheme="minorHAnsi" w:hAnsi="Comic Sans MS" w:cstheme="minorHAnsi"/>
        </w:rPr>
        <w:t>Pour la mesure de</w:t>
      </w:r>
      <w:r w:rsidR="000423E7">
        <w:rPr>
          <w:rFonts w:ascii="Comic Sans MS" w:eastAsiaTheme="minorHAnsi" w:hAnsi="Comic Sans MS" w:cstheme="minorHAnsi"/>
        </w:rPr>
        <w:t xml:space="preserve"> diffusion des foyers améliorés</w:t>
      </w:r>
      <w:r w:rsidRPr="009F25CF">
        <w:rPr>
          <w:rFonts w:ascii="Comic Sans MS" w:eastAsiaTheme="minorHAnsi" w:hAnsi="Comic Sans MS" w:cstheme="minorHAnsi"/>
        </w:rPr>
        <w:t xml:space="preserve">, le coût a été estimé à </w:t>
      </w:r>
      <w:r w:rsidR="005563B8">
        <w:rPr>
          <w:rFonts w:ascii="Comic Sans MS" w:eastAsiaTheme="minorHAnsi" w:hAnsi="Comic Sans MS" w:cstheme="minorHAnsi"/>
        </w:rPr>
        <w:t>148</w:t>
      </w:r>
      <w:r w:rsidR="000423E7">
        <w:rPr>
          <w:rFonts w:ascii="Comic Sans MS" w:eastAsiaTheme="minorHAnsi" w:hAnsi="Comic Sans MS" w:cstheme="minorHAnsi"/>
        </w:rPr>
        <w:t xml:space="preserve"> millions</w:t>
      </w:r>
      <w:r w:rsidRPr="009F25CF">
        <w:rPr>
          <w:rFonts w:ascii="Comic Sans MS" w:eastAsiaTheme="minorHAnsi" w:hAnsi="Comic Sans MS" w:cstheme="minorHAnsi"/>
        </w:rPr>
        <w:t xml:space="preserve"> MRU</w:t>
      </w:r>
      <w:r w:rsidR="000423E7">
        <w:rPr>
          <w:rFonts w:ascii="Comic Sans MS" w:eastAsiaTheme="minorHAnsi" w:hAnsi="Comic Sans MS" w:cstheme="minorHAnsi"/>
        </w:rPr>
        <w:t xml:space="preserve"> (</w:t>
      </w:r>
      <w:r w:rsidR="005563B8">
        <w:rPr>
          <w:rFonts w:ascii="Comic Sans MS" w:eastAsiaTheme="minorHAnsi" w:hAnsi="Comic Sans MS" w:cstheme="minorHAnsi"/>
        </w:rPr>
        <w:t>3,</w:t>
      </w:r>
      <w:r w:rsidR="000423E7">
        <w:rPr>
          <w:rFonts w:ascii="Comic Sans MS" w:hAnsi="Comic Sans MS" w:cstheme="minorHAnsi"/>
        </w:rPr>
        <w:t>9 millions</w:t>
      </w:r>
      <w:r w:rsidRPr="009F25CF">
        <w:rPr>
          <w:rFonts w:ascii="Comic Sans MS" w:hAnsi="Comic Sans MS" w:cstheme="minorHAnsi"/>
        </w:rPr>
        <w:t xml:space="preserve"> $</w:t>
      </w:r>
      <w:r w:rsidR="000423E7">
        <w:rPr>
          <w:rFonts w:ascii="Comic Sans MS" w:hAnsi="Comic Sans MS" w:cstheme="minorHAnsi"/>
        </w:rPr>
        <w:t xml:space="preserve">) </w:t>
      </w:r>
      <w:r w:rsidR="00D61B99">
        <w:rPr>
          <w:rFonts w:ascii="Comic Sans MS" w:hAnsi="Comic Sans MS" w:cstheme="minorHAnsi"/>
        </w:rPr>
        <w:t>d’ici</w:t>
      </w:r>
      <w:r w:rsidR="000423E7">
        <w:rPr>
          <w:rFonts w:ascii="Comic Sans MS" w:hAnsi="Comic Sans MS" w:cstheme="minorHAnsi"/>
        </w:rPr>
        <w:t xml:space="preserve"> 2030 </w:t>
      </w:r>
      <w:r w:rsidR="000423E7">
        <w:rPr>
          <w:rFonts w:ascii="Comic Sans MS" w:eastAsiaTheme="minorHAnsi" w:hAnsi="Comic Sans MS" w:cstheme="minorHAnsi"/>
        </w:rPr>
        <w:t xml:space="preserve">et </w:t>
      </w:r>
      <w:r w:rsidR="00D61B99">
        <w:rPr>
          <w:rFonts w:ascii="Comic Sans MS" w:eastAsiaTheme="minorHAnsi" w:hAnsi="Comic Sans MS" w:cstheme="minorHAnsi"/>
        </w:rPr>
        <w:t xml:space="preserve">le même montant est nécessaire pour l’horizon </w:t>
      </w:r>
      <w:r w:rsidR="00FF3EA6">
        <w:rPr>
          <w:rFonts w:ascii="Comic Sans MS" w:hAnsi="Comic Sans MS" w:cstheme="minorHAnsi"/>
        </w:rPr>
        <w:t>20</w:t>
      </w:r>
      <w:r w:rsidR="004C6AFC">
        <w:rPr>
          <w:rFonts w:ascii="Comic Sans MS" w:hAnsi="Comic Sans MS" w:cstheme="minorHAnsi"/>
        </w:rPr>
        <w:t>5</w:t>
      </w:r>
      <w:r w:rsidR="00FF3EA6">
        <w:rPr>
          <w:rFonts w:ascii="Comic Sans MS" w:hAnsi="Comic Sans MS" w:cstheme="minorHAnsi"/>
        </w:rPr>
        <w:t>0</w:t>
      </w:r>
      <w:r w:rsidR="004C6AFC">
        <w:rPr>
          <w:rFonts w:ascii="Comic Sans MS" w:hAnsi="Comic Sans MS" w:cstheme="minorHAnsi"/>
        </w:rPr>
        <w:t>.</w:t>
      </w:r>
    </w:p>
    <w:p w14:paraId="0BC4801E" w14:textId="45D0A76D" w:rsidR="00D61B99" w:rsidRPr="009F25CF" w:rsidRDefault="00D61B99">
      <w:pPr>
        <w:pStyle w:val="Paragraphedeliste"/>
        <w:numPr>
          <w:ilvl w:val="0"/>
          <w:numId w:val="16"/>
        </w:numPr>
        <w:adjustRightInd w:val="0"/>
        <w:spacing w:before="0"/>
        <w:ind w:left="284" w:hanging="284"/>
        <w:jc w:val="lowKashida"/>
        <w:rPr>
          <w:rFonts w:ascii="Comic Sans MS" w:hAnsi="Comic Sans MS" w:cstheme="minorHAnsi"/>
        </w:rPr>
      </w:pPr>
      <w:r>
        <w:rPr>
          <w:rFonts w:ascii="Comic Sans MS" w:eastAsiaTheme="minorHAnsi" w:hAnsi="Comic Sans MS" w:cstheme="minorHAnsi"/>
        </w:rPr>
        <w:t>P</w:t>
      </w:r>
      <w:r w:rsidRPr="009F25CF">
        <w:rPr>
          <w:rFonts w:ascii="Comic Sans MS" w:eastAsiaTheme="minorHAnsi" w:hAnsi="Comic Sans MS" w:cstheme="minorHAnsi"/>
        </w:rPr>
        <w:t>our la mesure de</w:t>
      </w:r>
      <w:r>
        <w:rPr>
          <w:rFonts w:ascii="Comic Sans MS" w:eastAsiaTheme="minorHAnsi" w:hAnsi="Comic Sans MS" w:cstheme="minorHAnsi"/>
        </w:rPr>
        <w:t xml:space="preserve"> diffusion des </w:t>
      </w:r>
      <w:r>
        <w:rPr>
          <w:rFonts w:ascii="Comic Sans MS" w:eastAsiaTheme="minorHAnsi" w:hAnsi="Comic Sans MS" w:cstheme="minorHAnsi"/>
        </w:rPr>
        <w:t>kits de gaz butane</w:t>
      </w:r>
      <w:r w:rsidRPr="009F25CF">
        <w:rPr>
          <w:rFonts w:ascii="Comic Sans MS" w:eastAsiaTheme="minorHAnsi" w:hAnsi="Comic Sans MS" w:cstheme="minorHAnsi"/>
        </w:rPr>
        <w:t xml:space="preserve">, le coût a été estimé à </w:t>
      </w:r>
      <w:r w:rsidR="001865C7">
        <w:rPr>
          <w:rFonts w:ascii="Comic Sans MS" w:eastAsiaTheme="minorHAnsi" w:hAnsi="Comic Sans MS" w:cstheme="minorHAnsi"/>
        </w:rPr>
        <w:t>2000</w:t>
      </w:r>
      <w:r>
        <w:rPr>
          <w:rFonts w:ascii="Comic Sans MS" w:eastAsiaTheme="minorHAnsi" w:hAnsi="Comic Sans MS" w:cstheme="minorHAnsi"/>
        </w:rPr>
        <w:t xml:space="preserve"> millions</w:t>
      </w:r>
      <w:r w:rsidRPr="009F25CF">
        <w:rPr>
          <w:rFonts w:ascii="Comic Sans MS" w:eastAsiaTheme="minorHAnsi" w:hAnsi="Comic Sans MS" w:cstheme="minorHAnsi"/>
        </w:rPr>
        <w:t xml:space="preserve"> MRU</w:t>
      </w:r>
      <w:r>
        <w:rPr>
          <w:rFonts w:ascii="Comic Sans MS" w:eastAsiaTheme="minorHAnsi" w:hAnsi="Comic Sans MS" w:cstheme="minorHAnsi"/>
        </w:rPr>
        <w:t xml:space="preserve"> (</w:t>
      </w:r>
      <w:r w:rsidR="0055755D">
        <w:rPr>
          <w:rFonts w:ascii="Comic Sans MS" w:eastAsiaTheme="minorHAnsi" w:hAnsi="Comic Sans MS" w:cstheme="minorHAnsi"/>
        </w:rPr>
        <w:t>5,1</w:t>
      </w:r>
      <w:r>
        <w:rPr>
          <w:rFonts w:ascii="Comic Sans MS" w:hAnsi="Comic Sans MS" w:cstheme="minorHAnsi"/>
        </w:rPr>
        <w:t xml:space="preserve"> millions</w:t>
      </w:r>
      <w:r w:rsidRPr="009F25CF">
        <w:rPr>
          <w:rFonts w:ascii="Comic Sans MS" w:hAnsi="Comic Sans MS" w:cstheme="minorHAnsi"/>
        </w:rPr>
        <w:t xml:space="preserve"> $</w:t>
      </w:r>
      <w:r>
        <w:rPr>
          <w:rFonts w:ascii="Comic Sans MS" w:hAnsi="Comic Sans MS" w:cstheme="minorHAnsi"/>
        </w:rPr>
        <w:t xml:space="preserve">) d’ici 2030 </w:t>
      </w:r>
      <w:r>
        <w:rPr>
          <w:rFonts w:ascii="Comic Sans MS" w:eastAsiaTheme="minorHAnsi" w:hAnsi="Comic Sans MS" w:cstheme="minorHAnsi"/>
        </w:rPr>
        <w:t xml:space="preserve">et </w:t>
      </w:r>
      <w:r w:rsidR="001865C7">
        <w:rPr>
          <w:rFonts w:ascii="Comic Sans MS" w:eastAsiaTheme="minorHAnsi" w:hAnsi="Comic Sans MS" w:cstheme="minorHAnsi"/>
        </w:rPr>
        <w:t xml:space="preserve">à </w:t>
      </w:r>
      <w:r w:rsidR="0055755D">
        <w:rPr>
          <w:rFonts w:ascii="Comic Sans MS" w:eastAsiaTheme="minorHAnsi" w:hAnsi="Comic Sans MS" w:cstheme="minorHAnsi"/>
        </w:rPr>
        <w:t>9000 millions MRU (</w:t>
      </w:r>
      <w:r w:rsidR="0055755D">
        <w:rPr>
          <w:rFonts w:ascii="Comic Sans MS" w:eastAsiaTheme="minorHAnsi" w:hAnsi="Comic Sans MS" w:cstheme="minorHAnsi"/>
        </w:rPr>
        <w:t>24</w:t>
      </w:r>
      <w:r w:rsidR="0055755D">
        <w:rPr>
          <w:rFonts w:ascii="Comic Sans MS" w:hAnsi="Comic Sans MS" w:cstheme="minorHAnsi"/>
        </w:rPr>
        <w:t xml:space="preserve"> millions</w:t>
      </w:r>
      <w:r w:rsidR="0055755D" w:rsidRPr="009F25CF">
        <w:rPr>
          <w:rFonts w:ascii="Comic Sans MS" w:hAnsi="Comic Sans MS" w:cstheme="minorHAnsi"/>
        </w:rPr>
        <w:t xml:space="preserve"> $</w:t>
      </w:r>
      <w:r w:rsidR="0055755D">
        <w:rPr>
          <w:rFonts w:ascii="Comic Sans MS" w:hAnsi="Comic Sans MS" w:cstheme="minorHAnsi"/>
        </w:rPr>
        <w:t xml:space="preserve">) </w:t>
      </w:r>
      <w:r w:rsidR="0055755D">
        <w:rPr>
          <w:rFonts w:ascii="Comic Sans MS" w:hAnsi="Comic Sans MS" w:cstheme="minorHAnsi"/>
        </w:rPr>
        <w:t>à</w:t>
      </w:r>
      <w:r>
        <w:rPr>
          <w:rFonts w:ascii="Comic Sans MS" w:eastAsiaTheme="minorHAnsi" w:hAnsi="Comic Sans MS" w:cstheme="minorHAnsi"/>
        </w:rPr>
        <w:t xml:space="preserve"> l’horizon </w:t>
      </w:r>
      <w:r>
        <w:rPr>
          <w:rFonts w:ascii="Comic Sans MS" w:hAnsi="Comic Sans MS" w:cstheme="minorHAnsi"/>
        </w:rPr>
        <w:t>2050.</w:t>
      </w:r>
    </w:p>
    <w:p w14:paraId="55C9BE73" w14:textId="77777777" w:rsidR="00543975" w:rsidRPr="00D61B99" w:rsidRDefault="00543975" w:rsidP="00D61B99">
      <w:pPr>
        <w:spacing w:before="0"/>
        <w:ind w:left="360" w:firstLine="0"/>
        <w:rPr>
          <w:rFonts w:ascii="Comic Sans MS" w:hAnsi="Comic Sans MS" w:cs="Calibri"/>
          <w:sz w:val="26"/>
          <w:szCs w:val="26"/>
        </w:rPr>
      </w:pPr>
    </w:p>
    <w:p w14:paraId="74D5BB83" w14:textId="117F6FF9" w:rsidR="00543975" w:rsidRPr="009F25CF" w:rsidRDefault="00543975" w:rsidP="00543975">
      <w:pPr>
        <w:spacing w:before="0" w:after="120"/>
        <w:ind w:left="0" w:firstLine="0"/>
        <w:rPr>
          <w:rFonts w:ascii="Comic Sans MS" w:hAnsi="Comic Sans MS" w:cs="Calibri"/>
          <w:sz w:val="24"/>
          <w:szCs w:val="24"/>
          <w:lang w:eastAsia="fr-FR"/>
        </w:rPr>
      </w:pPr>
      <w:r w:rsidRPr="009F25CF">
        <w:rPr>
          <w:rFonts w:ascii="Comic Sans MS" w:hAnsi="Comic Sans MS" w:cs="Calibri"/>
          <w:sz w:val="24"/>
          <w:szCs w:val="24"/>
          <w:lang w:eastAsia="fr-FR"/>
        </w:rPr>
        <w:t xml:space="preserve">La mise en œuvre des mesures d’atténuations proposées </w:t>
      </w:r>
      <w:r w:rsidR="0055755D">
        <w:rPr>
          <w:rFonts w:ascii="Comic Sans MS" w:hAnsi="Comic Sans MS" w:cs="Calibri"/>
          <w:sz w:val="24"/>
          <w:szCs w:val="24"/>
          <w:lang w:eastAsia="fr-FR"/>
        </w:rPr>
        <w:t xml:space="preserve">par le sous-secteur énergies résidentielles </w:t>
      </w:r>
      <w:r w:rsidRPr="009F25CF">
        <w:rPr>
          <w:rFonts w:ascii="Comic Sans MS" w:hAnsi="Comic Sans MS" w:cs="Calibri"/>
          <w:sz w:val="24"/>
          <w:szCs w:val="24"/>
          <w:lang w:eastAsia="fr-FR"/>
        </w:rPr>
        <w:t xml:space="preserve">dans le cadre de la NC5, </w:t>
      </w:r>
      <w:r w:rsidR="0055755D">
        <w:rPr>
          <w:rFonts w:ascii="Comic Sans MS" w:hAnsi="Comic Sans MS" w:cs="Calibri"/>
          <w:sz w:val="24"/>
          <w:szCs w:val="24"/>
          <w:lang w:eastAsia="fr-FR"/>
        </w:rPr>
        <w:t xml:space="preserve">va </w:t>
      </w:r>
      <w:r w:rsidRPr="009F25CF">
        <w:rPr>
          <w:rFonts w:ascii="Comic Sans MS" w:hAnsi="Comic Sans MS" w:cs="Calibri"/>
          <w:sz w:val="24"/>
          <w:szCs w:val="24"/>
          <w:lang w:eastAsia="fr-FR"/>
        </w:rPr>
        <w:t>génér</w:t>
      </w:r>
      <w:r w:rsidR="0055755D">
        <w:rPr>
          <w:rFonts w:ascii="Comic Sans MS" w:hAnsi="Comic Sans MS" w:cs="Calibri"/>
          <w:sz w:val="24"/>
          <w:szCs w:val="24"/>
          <w:lang w:eastAsia="fr-FR"/>
        </w:rPr>
        <w:t>er</w:t>
      </w:r>
      <w:r w:rsidRPr="009F25CF">
        <w:rPr>
          <w:rFonts w:ascii="Comic Sans MS" w:hAnsi="Comic Sans MS" w:cs="Calibri"/>
          <w:sz w:val="24"/>
          <w:szCs w:val="24"/>
          <w:lang w:eastAsia="fr-FR"/>
        </w:rPr>
        <w:t xml:space="preserve"> beaucoup d’a</w:t>
      </w:r>
      <w:r w:rsidR="0072721A" w:rsidRPr="009F25CF">
        <w:rPr>
          <w:rFonts w:ascii="Comic Sans MS" w:hAnsi="Comic Sans MS" w:cs="Calibri"/>
          <w:sz w:val="24"/>
          <w:szCs w:val="24"/>
          <w:lang w:eastAsia="fr-FR"/>
        </w:rPr>
        <w:t xml:space="preserve">vantages </w:t>
      </w:r>
      <w:r w:rsidR="00881FA4" w:rsidRPr="009F25CF">
        <w:rPr>
          <w:rFonts w:ascii="Comic Sans MS" w:hAnsi="Comic Sans MS" w:cs="Calibri"/>
          <w:sz w:val="24"/>
          <w:szCs w:val="24"/>
          <w:lang w:eastAsia="fr-FR"/>
        </w:rPr>
        <w:t xml:space="preserve">socio-économiques </w:t>
      </w:r>
      <w:r w:rsidRPr="009F25CF">
        <w:rPr>
          <w:rFonts w:ascii="Comic Sans MS" w:hAnsi="Comic Sans MS" w:cs="Calibri"/>
          <w:sz w:val="24"/>
          <w:szCs w:val="24"/>
          <w:lang w:eastAsia="fr-FR"/>
        </w:rPr>
        <w:t xml:space="preserve">surtout celles relatifs à : </w:t>
      </w:r>
    </w:p>
    <w:p w14:paraId="0B50E786" w14:textId="68C1E2BE" w:rsidR="00543975" w:rsidRPr="009F25CF" w:rsidRDefault="00543975">
      <w:pPr>
        <w:pStyle w:val="Paragraphedeliste"/>
        <w:numPr>
          <w:ilvl w:val="0"/>
          <w:numId w:val="17"/>
        </w:numPr>
        <w:spacing w:before="0"/>
        <w:rPr>
          <w:rFonts w:ascii="Comic Sans MS" w:hAnsi="Comic Sans MS" w:cstheme="minorHAnsi"/>
        </w:rPr>
      </w:pPr>
      <w:r w:rsidRPr="009F25CF">
        <w:rPr>
          <w:rFonts w:ascii="Comic Sans MS" w:hAnsi="Comic Sans MS" w:cstheme="minorHAnsi"/>
        </w:rPr>
        <w:t xml:space="preserve">la création d’emploi vert </w:t>
      </w:r>
      <w:r w:rsidR="008B52F4" w:rsidRPr="009F25CF">
        <w:rPr>
          <w:rFonts w:ascii="Comic Sans MS" w:eastAsiaTheme="minorHAnsi" w:hAnsi="Comic Sans MS" w:cstheme="minorHAnsi"/>
        </w:rPr>
        <w:t xml:space="preserve">durables et temporaires </w:t>
      </w:r>
      <w:r w:rsidR="00F312E1">
        <w:rPr>
          <w:rFonts w:ascii="Comic Sans MS" w:eastAsiaTheme="minorHAnsi" w:hAnsi="Comic Sans MS" w:cstheme="minorHAnsi"/>
        </w:rPr>
        <w:t>dans le domaine de fabrication et des foyers améliorés d’une part et dans le fonctionnement de la filière gaz butane d’autre part</w:t>
      </w:r>
      <w:r w:rsidR="008B52F4" w:rsidRPr="009F25CF">
        <w:rPr>
          <w:rFonts w:ascii="Comic Sans MS" w:eastAsiaTheme="minorHAnsi" w:hAnsi="Comic Sans MS" w:cstheme="minorHAnsi"/>
        </w:rPr>
        <w:t> ;</w:t>
      </w:r>
    </w:p>
    <w:p w14:paraId="429FBF38" w14:textId="4AB0BB16" w:rsidR="008B52F4" w:rsidRPr="009F25CF" w:rsidRDefault="008B52F4">
      <w:pPr>
        <w:pStyle w:val="Paragraphedeliste"/>
        <w:numPr>
          <w:ilvl w:val="0"/>
          <w:numId w:val="17"/>
        </w:numPr>
        <w:spacing w:before="0"/>
        <w:rPr>
          <w:rFonts w:ascii="Comic Sans MS" w:eastAsiaTheme="minorHAnsi" w:hAnsi="Comic Sans MS" w:cstheme="minorHAnsi"/>
        </w:rPr>
      </w:pPr>
      <w:r w:rsidRPr="009F25CF">
        <w:rPr>
          <w:rFonts w:ascii="Comic Sans MS" w:eastAsiaTheme="minorHAnsi" w:hAnsi="Comic Sans MS" w:cstheme="minorHAnsi"/>
        </w:rPr>
        <w:t xml:space="preserve">l’amélioration des conditions de vie des populations et l’épanouissement du marché local avec le développement des filières </w:t>
      </w:r>
      <w:r w:rsidR="00F312E1">
        <w:rPr>
          <w:rFonts w:ascii="Comic Sans MS" w:eastAsiaTheme="minorHAnsi" w:hAnsi="Comic Sans MS" w:cstheme="minorHAnsi"/>
        </w:rPr>
        <w:t xml:space="preserve">gaz butane et foyers améliorés </w:t>
      </w:r>
      <w:r w:rsidRPr="009F25CF">
        <w:rPr>
          <w:rFonts w:ascii="Comic Sans MS" w:eastAsiaTheme="minorHAnsi" w:hAnsi="Comic Sans MS" w:cstheme="minorHAnsi"/>
        </w:rPr>
        <w:t>;</w:t>
      </w:r>
    </w:p>
    <w:p w14:paraId="09231622" w14:textId="6668F6E4" w:rsidR="0014370B" w:rsidRPr="009F25CF" w:rsidRDefault="0072721A">
      <w:pPr>
        <w:pStyle w:val="Paragraphedeliste"/>
        <w:numPr>
          <w:ilvl w:val="0"/>
          <w:numId w:val="17"/>
        </w:numPr>
        <w:spacing w:before="0"/>
        <w:rPr>
          <w:rFonts w:ascii="Comic Sans MS" w:eastAsiaTheme="minorHAnsi" w:hAnsi="Comic Sans MS" w:cstheme="minorHAnsi"/>
        </w:rPr>
      </w:pPr>
      <w:r w:rsidRPr="009F25CF">
        <w:rPr>
          <w:rFonts w:ascii="Comic Sans MS" w:eastAsiaTheme="minorHAnsi" w:hAnsi="Comic Sans MS" w:cstheme="minorHAnsi"/>
        </w:rPr>
        <w:t xml:space="preserve">l'amélioration </w:t>
      </w:r>
      <w:r w:rsidR="00543975" w:rsidRPr="009F25CF">
        <w:rPr>
          <w:rFonts w:ascii="Comic Sans MS" w:eastAsiaTheme="minorHAnsi" w:hAnsi="Comic Sans MS" w:cstheme="minorHAnsi"/>
        </w:rPr>
        <w:t xml:space="preserve">de l’offre en </w:t>
      </w:r>
      <w:r w:rsidR="008B52F4" w:rsidRPr="009F25CF">
        <w:rPr>
          <w:rFonts w:ascii="Comic Sans MS" w:eastAsiaTheme="minorHAnsi" w:hAnsi="Comic Sans MS" w:cstheme="minorHAnsi"/>
        </w:rPr>
        <w:t xml:space="preserve">produits </w:t>
      </w:r>
      <w:r w:rsidR="00F312E1">
        <w:rPr>
          <w:rFonts w:ascii="Comic Sans MS" w:eastAsiaTheme="minorHAnsi" w:hAnsi="Comic Sans MS" w:cstheme="minorHAnsi"/>
        </w:rPr>
        <w:t xml:space="preserve">en énergies de substitution aux combustibles ligneux et d’économie de leurs consommations par les ménages </w:t>
      </w:r>
      <w:r w:rsidR="008B52F4" w:rsidRPr="009F25CF">
        <w:rPr>
          <w:rFonts w:ascii="Comic Sans MS" w:eastAsiaTheme="minorHAnsi" w:hAnsi="Comic Sans MS" w:cstheme="minorHAnsi"/>
        </w:rPr>
        <w:t xml:space="preserve">à des </w:t>
      </w:r>
      <w:r w:rsidRPr="009F25CF">
        <w:rPr>
          <w:rFonts w:ascii="Comic Sans MS" w:eastAsiaTheme="minorHAnsi" w:hAnsi="Comic Sans MS" w:cstheme="minorHAnsi"/>
        </w:rPr>
        <w:t>prix compétitifs</w:t>
      </w:r>
      <w:r w:rsidR="0014370B" w:rsidRPr="009F25CF">
        <w:rPr>
          <w:rFonts w:ascii="Comic Sans MS" w:eastAsiaTheme="minorHAnsi" w:hAnsi="Comic Sans MS" w:cstheme="minorHAnsi"/>
        </w:rPr>
        <w:t xml:space="preserve">. </w:t>
      </w:r>
    </w:p>
    <w:p w14:paraId="20194488" w14:textId="77777777" w:rsidR="008B52F4" w:rsidRPr="009F25CF" w:rsidRDefault="008B52F4" w:rsidP="0072721A">
      <w:pPr>
        <w:spacing w:before="0"/>
        <w:rPr>
          <w:rFonts w:ascii="Comic Sans MS" w:hAnsi="Comic Sans MS" w:cs="Calibri"/>
          <w:sz w:val="26"/>
          <w:szCs w:val="26"/>
        </w:rPr>
      </w:pPr>
    </w:p>
    <w:p w14:paraId="3DB0B47B" w14:textId="77777777" w:rsidR="004D67F6" w:rsidRPr="009F25CF" w:rsidRDefault="004D67F6" w:rsidP="004D67F6">
      <w:pPr>
        <w:rPr>
          <w:rFonts w:ascii="Comic Sans MS" w:hAnsi="Comic Sans MS"/>
          <w:color w:val="202122"/>
          <w:sz w:val="21"/>
          <w:szCs w:val="21"/>
          <w:shd w:val="clear" w:color="auto" w:fill="FFFFFF"/>
        </w:rPr>
      </w:pPr>
    </w:p>
    <w:p w14:paraId="28B28388" w14:textId="77777777" w:rsidR="0067386A" w:rsidRPr="009F25CF" w:rsidRDefault="0067386A" w:rsidP="009C12B2">
      <w:pPr>
        <w:spacing w:before="0"/>
        <w:rPr>
          <w:rFonts w:ascii="Comic Sans MS" w:hAnsi="Comic Sans MS" w:cs="Calibri"/>
          <w:sz w:val="26"/>
          <w:szCs w:val="26"/>
        </w:rPr>
      </w:pPr>
    </w:p>
    <w:sectPr w:rsidR="0067386A" w:rsidRPr="009F25CF" w:rsidSect="005F16EF">
      <w:pgSz w:w="12240" w:h="15840"/>
      <w:pgMar w:top="993" w:right="616" w:bottom="1440" w:left="1276"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038A" w14:textId="77777777" w:rsidR="00373233" w:rsidRPr="004A3F83" w:rsidRDefault="00373233" w:rsidP="00195F07">
      <w:r w:rsidRPr="004A3F83">
        <w:separator/>
      </w:r>
    </w:p>
  </w:endnote>
  <w:endnote w:type="continuationSeparator" w:id="0">
    <w:p w14:paraId="0A22A860" w14:textId="77777777" w:rsidR="00373233" w:rsidRPr="004A3F83" w:rsidRDefault="00373233" w:rsidP="00195F07">
      <w:r w:rsidRPr="004A3F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CAEHB+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39F3" w14:textId="77777777" w:rsidR="000B24CB" w:rsidRDefault="000B24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erpetua" w:hAnsi="Perpetua"/>
      </w:rPr>
      <w:id w:val="-2098941535"/>
      <w:docPartObj>
        <w:docPartGallery w:val="Page Numbers (Bottom of Page)"/>
        <w:docPartUnique/>
      </w:docPartObj>
    </w:sdtPr>
    <w:sdtContent>
      <w:sdt>
        <w:sdtPr>
          <w:rPr>
            <w:rFonts w:ascii="Perpetua" w:hAnsi="Perpetua"/>
          </w:rPr>
          <w:id w:val="-1769616900"/>
          <w:docPartObj>
            <w:docPartGallery w:val="Page Numbers (Top of Page)"/>
            <w:docPartUnique/>
          </w:docPartObj>
        </w:sdtPr>
        <w:sdtContent>
          <w:p w14:paraId="73BF1DCD" w14:textId="77777777" w:rsidR="00C84FB1" w:rsidRPr="000B24CB" w:rsidRDefault="00C84FB1" w:rsidP="000B24CB">
            <w:pPr>
              <w:pStyle w:val="Pieddepage"/>
              <w:jc w:val="center"/>
              <w:rPr>
                <w:rFonts w:ascii="Perpetua" w:hAnsi="Perpetua"/>
              </w:rPr>
            </w:pPr>
            <w:r w:rsidRPr="000B24CB">
              <w:rPr>
                <w:rFonts w:ascii="Perpetua" w:hAnsi="Perpetua"/>
              </w:rPr>
              <w:t xml:space="preserve">Page </w:t>
            </w:r>
            <w:r w:rsidRPr="000B24CB">
              <w:rPr>
                <w:rFonts w:ascii="Perpetua" w:hAnsi="Perpetua"/>
                <w:b/>
                <w:bCs/>
                <w:sz w:val="24"/>
                <w:szCs w:val="24"/>
              </w:rPr>
              <w:fldChar w:fldCharType="begin"/>
            </w:r>
            <w:r w:rsidRPr="000B24CB">
              <w:rPr>
                <w:rFonts w:ascii="Perpetua" w:hAnsi="Perpetua"/>
                <w:b/>
                <w:bCs/>
              </w:rPr>
              <w:instrText>PAGE</w:instrText>
            </w:r>
            <w:r w:rsidRPr="000B24CB">
              <w:rPr>
                <w:rFonts w:ascii="Perpetua" w:hAnsi="Perpetua"/>
                <w:b/>
                <w:bCs/>
                <w:sz w:val="24"/>
                <w:szCs w:val="24"/>
              </w:rPr>
              <w:fldChar w:fldCharType="separate"/>
            </w:r>
            <w:r w:rsidR="0038676E" w:rsidRPr="000B24CB">
              <w:rPr>
                <w:rFonts w:ascii="Perpetua" w:hAnsi="Perpetua"/>
                <w:b/>
                <w:bCs/>
                <w:sz w:val="24"/>
                <w:szCs w:val="24"/>
              </w:rPr>
              <w:t>14</w:t>
            </w:r>
            <w:r w:rsidRPr="000B24CB">
              <w:rPr>
                <w:rFonts w:ascii="Perpetua" w:hAnsi="Perpetua"/>
                <w:b/>
                <w:bCs/>
                <w:sz w:val="24"/>
                <w:szCs w:val="24"/>
              </w:rPr>
              <w:fldChar w:fldCharType="end"/>
            </w:r>
            <w:r w:rsidRPr="000B24CB">
              <w:rPr>
                <w:rFonts w:ascii="Perpetua" w:hAnsi="Perpetua"/>
              </w:rPr>
              <w:t xml:space="preserve"> sur </w:t>
            </w:r>
            <w:r w:rsidRPr="000B24CB">
              <w:rPr>
                <w:rFonts w:ascii="Perpetua" w:hAnsi="Perpetua"/>
                <w:b/>
                <w:bCs/>
                <w:sz w:val="24"/>
                <w:szCs w:val="24"/>
              </w:rPr>
              <w:fldChar w:fldCharType="begin"/>
            </w:r>
            <w:r w:rsidRPr="000B24CB">
              <w:rPr>
                <w:rFonts w:ascii="Perpetua" w:hAnsi="Perpetua"/>
                <w:b/>
                <w:bCs/>
              </w:rPr>
              <w:instrText>NUMPAGES</w:instrText>
            </w:r>
            <w:r w:rsidRPr="000B24CB">
              <w:rPr>
                <w:rFonts w:ascii="Perpetua" w:hAnsi="Perpetua"/>
                <w:b/>
                <w:bCs/>
                <w:sz w:val="24"/>
                <w:szCs w:val="24"/>
              </w:rPr>
              <w:fldChar w:fldCharType="separate"/>
            </w:r>
            <w:r w:rsidR="0038676E" w:rsidRPr="000B24CB">
              <w:rPr>
                <w:rFonts w:ascii="Perpetua" w:hAnsi="Perpetua"/>
                <w:b/>
                <w:bCs/>
                <w:sz w:val="24"/>
                <w:szCs w:val="24"/>
              </w:rPr>
              <w:t>28</w:t>
            </w:r>
            <w:r w:rsidRPr="000B24CB">
              <w:rPr>
                <w:rFonts w:ascii="Perpetua" w:hAnsi="Perpetua"/>
                <w:b/>
                <w:bCs/>
                <w:sz w:val="24"/>
                <w:szCs w:val="24"/>
              </w:rPr>
              <w:fldChar w:fldCharType="end"/>
            </w:r>
          </w:p>
        </w:sdtContent>
      </w:sdt>
    </w:sdtContent>
  </w:sdt>
  <w:p w14:paraId="05E73A1C" w14:textId="77777777" w:rsidR="00C84FB1" w:rsidRPr="004A3F83" w:rsidRDefault="00C84FB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D5ADD" w14:textId="77777777" w:rsidR="000B24CB" w:rsidRDefault="000B24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808AB" w14:textId="77777777" w:rsidR="00373233" w:rsidRPr="004A3F83" w:rsidRDefault="00373233" w:rsidP="00195F07">
      <w:r w:rsidRPr="004A3F83">
        <w:separator/>
      </w:r>
    </w:p>
  </w:footnote>
  <w:footnote w:type="continuationSeparator" w:id="0">
    <w:p w14:paraId="0847E1A4" w14:textId="77777777" w:rsidR="00373233" w:rsidRPr="004A3F83" w:rsidRDefault="00373233" w:rsidP="00195F07">
      <w:r w:rsidRPr="004A3F83">
        <w:continuationSeparator/>
      </w:r>
    </w:p>
  </w:footnote>
  <w:footnote w:id="1">
    <w:p w14:paraId="3F738F24" w14:textId="77777777" w:rsidR="00111243" w:rsidRPr="0016686C" w:rsidRDefault="00111243" w:rsidP="00111243">
      <w:pPr>
        <w:pStyle w:val="Notedebasdepage"/>
        <w:rPr>
          <w:rFonts w:ascii="Comic Sans MS" w:hAnsi="Comic Sans MS"/>
          <w:sz w:val="18"/>
          <w:szCs w:val="18"/>
        </w:rPr>
      </w:pPr>
      <w:r w:rsidRPr="0016686C">
        <w:rPr>
          <w:rStyle w:val="Appelnotedebasdep"/>
          <w:rFonts w:ascii="Comic Sans MS" w:eastAsia="Calibri" w:hAnsi="Comic Sans MS"/>
          <w:sz w:val="18"/>
          <w:szCs w:val="18"/>
        </w:rPr>
        <w:footnoteRef/>
      </w:r>
      <w:r w:rsidRPr="0016686C">
        <w:rPr>
          <w:rFonts w:ascii="Comic Sans MS" w:hAnsi="Comic Sans MS"/>
          <w:sz w:val="18"/>
          <w:szCs w:val="18"/>
        </w:rPr>
        <w:t xml:space="preserve"> FRA, 2020</w:t>
      </w:r>
    </w:p>
  </w:footnote>
  <w:footnote w:id="2">
    <w:p w14:paraId="4F4725A1" w14:textId="77777777" w:rsidR="00111243" w:rsidRPr="0016686C" w:rsidRDefault="00111243" w:rsidP="00111243">
      <w:pPr>
        <w:pStyle w:val="Notedebasdepage"/>
        <w:rPr>
          <w:rFonts w:ascii="Comic Sans MS" w:hAnsi="Comic Sans MS"/>
          <w:sz w:val="18"/>
          <w:szCs w:val="18"/>
        </w:rPr>
      </w:pPr>
      <w:r w:rsidRPr="0016686C">
        <w:rPr>
          <w:rStyle w:val="Appelnotedebasdep"/>
          <w:rFonts w:ascii="Comic Sans MS" w:eastAsia="Calibri" w:hAnsi="Comic Sans MS" w:cs="Calibri"/>
          <w:sz w:val="18"/>
          <w:szCs w:val="18"/>
        </w:rPr>
        <w:footnoteRef/>
      </w:r>
      <w:r w:rsidRPr="0016686C">
        <w:rPr>
          <w:rFonts w:ascii="Comic Sans MS" w:hAnsi="Comic Sans MS" w:cs="Calibri"/>
          <w:sz w:val="18"/>
          <w:szCs w:val="18"/>
        </w:rPr>
        <w:t xml:space="preserve"> FAO,2023 : Etude de la filière charbon de bois et le bois de chauffe en Mauritanie</w:t>
      </w:r>
    </w:p>
  </w:footnote>
  <w:footnote w:id="3">
    <w:p w14:paraId="777B6B40" w14:textId="77777777" w:rsidR="00111243" w:rsidRPr="0016686C" w:rsidRDefault="00111243" w:rsidP="00111243">
      <w:pPr>
        <w:rPr>
          <w:rFonts w:ascii="Comic Sans MS" w:hAnsi="Comic Sans MS"/>
          <w:sz w:val="18"/>
          <w:szCs w:val="18"/>
        </w:rPr>
      </w:pPr>
      <w:r w:rsidRPr="0016686C">
        <w:rPr>
          <w:rStyle w:val="Appelnotedebasdep"/>
          <w:rFonts w:ascii="Comic Sans MS" w:hAnsi="Comic Sans MS"/>
        </w:rPr>
        <w:footnoteRef/>
      </w:r>
      <w:r w:rsidRPr="0016686C">
        <w:rPr>
          <w:rFonts w:ascii="Comic Sans MS" w:hAnsi="Comic Sans MS"/>
        </w:rPr>
        <w:t xml:space="preserve"> </w:t>
      </w:r>
      <w:r w:rsidRPr="0016686C">
        <w:rPr>
          <w:rFonts w:ascii="Comic Sans MS" w:hAnsi="Comic Sans MS" w:cs="Calibri"/>
          <w:sz w:val="18"/>
          <w:szCs w:val="18"/>
        </w:rPr>
        <w:t>AMCC, 2023 : Étude analytique approfondie de la filière charbon de bois et bois de chauffe en Mauritanie</w:t>
      </w:r>
    </w:p>
    <w:p w14:paraId="54CE6751" w14:textId="77777777" w:rsidR="00111243" w:rsidRDefault="00111243" w:rsidP="0011124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3B5D5" w14:textId="77777777" w:rsidR="000B24CB" w:rsidRDefault="000B24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05A9" w14:textId="386AFB33" w:rsidR="00C84FB1" w:rsidRPr="005A0629" w:rsidRDefault="00C84FB1" w:rsidP="005A0629">
    <w:pPr>
      <w:pStyle w:val="En-tte"/>
      <w:ind w:left="0" w:hanging="851"/>
      <w:rPr>
        <w:rFonts w:ascii="Comic Sans MS" w:hAnsi="Comic Sans MS"/>
        <w:i/>
        <w:iCs/>
        <w:sz w:val="18"/>
        <w:szCs w:val="18"/>
      </w:rPr>
    </w:pPr>
    <w:r w:rsidRPr="004A3F83">
      <w:rPr>
        <w:i/>
        <w:iCs/>
        <w:sz w:val="18"/>
        <w:szCs w:val="18"/>
      </w:rPr>
      <w:t xml:space="preserve"> </w:t>
    </w:r>
    <w:r w:rsidRPr="005A0629">
      <w:rPr>
        <w:rFonts w:ascii="Comic Sans MS" w:hAnsi="Comic Sans MS"/>
        <w:i/>
        <w:iCs/>
        <w:sz w:val="18"/>
        <w:szCs w:val="18"/>
      </w:rPr>
      <w:t xml:space="preserve">Mesures d’atténuation </w:t>
    </w:r>
    <w:r w:rsidR="00CC260F" w:rsidRPr="005A0629">
      <w:rPr>
        <w:rFonts w:ascii="Comic Sans MS" w:hAnsi="Comic Sans MS"/>
        <w:i/>
        <w:iCs/>
        <w:sz w:val="18"/>
        <w:szCs w:val="18"/>
      </w:rPr>
      <w:t>sous-s</w:t>
    </w:r>
    <w:r w:rsidRPr="005A0629">
      <w:rPr>
        <w:rFonts w:ascii="Comic Sans MS" w:hAnsi="Comic Sans MS"/>
        <w:i/>
        <w:iCs/>
        <w:sz w:val="18"/>
        <w:szCs w:val="18"/>
      </w:rPr>
      <w:t xml:space="preserve">ecteur </w:t>
    </w:r>
    <w:r w:rsidR="005A0629">
      <w:rPr>
        <w:rFonts w:ascii="Comic Sans MS" w:hAnsi="Comic Sans MS"/>
        <w:i/>
        <w:iCs/>
        <w:sz w:val="18"/>
        <w:szCs w:val="18"/>
      </w:rPr>
      <w:t>Energie résidentielle</w:t>
    </w:r>
    <w:r w:rsidR="00CC260F" w:rsidRPr="005A0629">
      <w:rPr>
        <w:rFonts w:ascii="Comic Sans MS" w:hAnsi="Comic Sans MS"/>
        <w:i/>
        <w:iCs/>
        <w:sz w:val="18"/>
        <w:szCs w:val="18"/>
      </w:rPr>
      <w:t xml:space="preserve"> </w:t>
    </w:r>
    <w:r w:rsidRPr="005A0629">
      <w:rPr>
        <w:rFonts w:ascii="Comic Sans MS" w:hAnsi="Comic Sans MS"/>
        <w:i/>
        <w:iCs/>
        <w:sz w:val="18"/>
        <w:szCs w:val="18"/>
      </w:rPr>
      <w:t>……………………………………</w:t>
    </w:r>
    <w:r w:rsidR="005A0629">
      <w:rPr>
        <w:rFonts w:ascii="Comic Sans MS" w:hAnsi="Comic Sans MS"/>
        <w:i/>
        <w:iCs/>
        <w:sz w:val="18"/>
        <w:szCs w:val="18"/>
      </w:rPr>
      <w:t>……</w:t>
    </w:r>
    <w:proofErr w:type="gramStart"/>
    <w:r w:rsidR="005A0629">
      <w:rPr>
        <w:rFonts w:ascii="Comic Sans MS" w:hAnsi="Comic Sans MS"/>
        <w:i/>
        <w:iCs/>
        <w:sz w:val="18"/>
        <w:szCs w:val="18"/>
      </w:rPr>
      <w:t>…</w:t>
    </w:r>
    <w:r w:rsidRPr="005A0629">
      <w:rPr>
        <w:rFonts w:ascii="Comic Sans MS" w:hAnsi="Comic Sans MS"/>
        <w:i/>
        <w:iCs/>
        <w:sz w:val="18"/>
        <w:szCs w:val="18"/>
      </w:rPr>
      <w:t>….</w:t>
    </w:r>
    <w:proofErr w:type="gramEnd"/>
    <w:r w:rsidR="00CC260F" w:rsidRPr="005A0629">
      <w:rPr>
        <w:rFonts w:ascii="Comic Sans MS" w:hAnsi="Comic Sans MS"/>
        <w:i/>
        <w:iCs/>
        <w:sz w:val="18"/>
        <w:szCs w:val="18"/>
      </w:rPr>
      <w:t>Cinqui</w:t>
    </w:r>
    <w:r w:rsidRPr="005A0629">
      <w:rPr>
        <w:rFonts w:ascii="Comic Sans MS" w:hAnsi="Comic Sans MS"/>
        <w:i/>
        <w:iCs/>
        <w:sz w:val="18"/>
        <w:szCs w:val="18"/>
      </w:rPr>
      <w:t xml:space="preserve">ème Communication Nationale  </w:t>
    </w:r>
  </w:p>
  <w:p w14:paraId="7A51DD90" w14:textId="77777777" w:rsidR="00C84FB1" w:rsidRPr="004A3F83" w:rsidRDefault="00C84FB1" w:rsidP="00195F07">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F624" w14:textId="77777777" w:rsidR="000B24CB" w:rsidRDefault="000B24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83053F8"/>
    <w:lvl w:ilvl="0">
      <w:start w:val="1"/>
      <w:numFmt w:val="decimal"/>
      <w:pStyle w:val="Listenumros"/>
      <w:lvlText w:val="%1."/>
      <w:lvlJc w:val="left"/>
      <w:pPr>
        <w:tabs>
          <w:tab w:val="num" w:pos="360"/>
        </w:tabs>
        <w:ind w:left="360" w:hanging="360"/>
      </w:pPr>
    </w:lvl>
  </w:abstractNum>
  <w:abstractNum w:abstractNumId="1" w15:restartNumberingAfterBreak="0">
    <w:nsid w:val="01176ABD"/>
    <w:multiLevelType w:val="hybridMultilevel"/>
    <w:tmpl w:val="BB9ABC92"/>
    <w:lvl w:ilvl="0" w:tplc="642EA088">
      <w:start w:val="3"/>
      <w:numFmt w:val="upperRoman"/>
      <w:lvlText w:val="%1.1"/>
      <w:lvlJc w:val="left"/>
      <w:pPr>
        <w:ind w:left="13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33034A"/>
    <w:multiLevelType w:val="hybridMultilevel"/>
    <w:tmpl w:val="CC821920"/>
    <w:lvl w:ilvl="0" w:tplc="EA1E131A">
      <w:start w:val="3"/>
      <w:numFmt w:val="upperRoman"/>
      <w:lvlText w:val="%1.2"/>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7D45FE"/>
    <w:multiLevelType w:val="hybridMultilevel"/>
    <w:tmpl w:val="E2208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BD2234"/>
    <w:multiLevelType w:val="hybridMultilevel"/>
    <w:tmpl w:val="DAC07B2A"/>
    <w:lvl w:ilvl="0" w:tplc="FFFFFFFF">
      <w:start w:val="1"/>
      <w:numFmt w:val="upperRoman"/>
      <w:lvlText w:val="%1."/>
      <w:lvlJc w:val="left"/>
      <w:pPr>
        <w:ind w:left="644" w:hanging="360"/>
      </w:pPr>
      <w:rPr>
        <w:rFonts w:hint="default"/>
        <w:b w:val="0"/>
        <w:bCs w:val="0"/>
      </w:rPr>
    </w:lvl>
    <w:lvl w:ilvl="1" w:tplc="EC9A5D96">
      <w:start w:val="2"/>
      <w:numFmt w:val="upperRoman"/>
      <w:lvlText w:val="%2.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216607D8"/>
    <w:multiLevelType w:val="hybridMultilevel"/>
    <w:tmpl w:val="53EA935A"/>
    <w:lvl w:ilvl="0" w:tplc="8F1A4A54">
      <w:start w:val="1"/>
      <w:numFmt w:val="lowerLetter"/>
      <w:lvlText w:val="%1."/>
      <w:lvlJc w:val="left"/>
      <w:pPr>
        <w:ind w:left="426" w:hanging="360"/>
      </w:pPr>
      <w:rPr>
        <w:rFonts w:hint="default"/>
        <w:b/>
        <w:bCs/>
      </w:rPr>
    </w:lvl>
    <w:lvl w:ilvl="1" w:tplc="040C0019">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6" w15:restartNumberingAfterBreak="0">
    <w:nsid w:val="289461AC"/>
    <w:multiLevelType w:val="hybridMultilevel"/>
    <w:tmpl w:val="0CB267F8"/>
    <w:lvl w:ilvl="0" w:tplc="04090019">
      <w:start w:val="1"/>
      <w:numFmt w:val="lowerLetter"/>
      <w:lvlText w:val="%1."/>
      <w:lvlJc w:val="left"/>
      <w:pPr>
        <w:ind w:left="1298" w:hanging="360"/>
      </w:pPr>
      <w:rPr>
        <w:rFonts w:hint="default"/>
        <w:b/>
        <w:bCs/>
      </w:rPr>
    </w:lvl>
    <w:lvl w:ilvl="1" w:tplc="19B0D6FA">
      <w:start w:val="1"/>
      <w:numFmt w:val="lowerRoman"/>
      <w:lvlText w:val="(%2)"/>
      <w:lvlJc w:val="left"/>
      <w:pPr>
        <w:ind w:left="2094" w:hanging="1080"/>
      </w:pPr>
      <w:rPr>
        <w:rFonts w:hint="default"/>
      </w:r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7" w15:restartNumberingAfterBreak="0">
    <w:nsid w:val="2FF61CE2"/>
    <w:multiLevelType w:val="hybridMultilevel"/>
    <w:tmpl w:val="6D8C1A4E"/>
    <w:lvl w:ilvl="0" w:tplc="4F40993E">
      <w:start w:val="3"/>
      <w:numFmt w:val="upperRoman"/>
      <w:lvlText w:val="%1.3"/>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0169BE"/>
    <w:multiLevelType w:val="hybridMultilevel"/>
    <w:tmpl w:val="1A0819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01057E0"/>
    <w:multiLevelType w:val="hybridMultilevel"/>
    <w:tmpl w:val="9DC076FA"/>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44121D42"/>
    <w:multiLevelType w:val="hybridMultilevel"/>
    <w:tmpl w:val="4C3884D0"/>
    <w:lvl w:ilvl="0" w:tplc="C7A24C42">
      <w:start w:val="1"/>
      <w:numFmt w:val="decimal"/>
      <w:lvlText w:val="%1."/>
      <w:lvlJc w:val="left"/>
      <w:pPr>
        <w:ind w:left="360" w:hanging="360"/>
      </w:pPr>
      <w:rPr>
        <w:rFonts w:hint="default"/>
        <w:b/>
        <w:bCs/>
        <w:color w:val="auto"/>
        <w:sz w:val="22"/>
        <w:szCs w:val="12"/>
      </w:rPr>
    </w:lvl>
    <w:lvl w:ilvl="1" w:tplc="040C0003">
      <w:start w:val="1"/>
      <w:numFmt w:val="bullet"/>
      <w:lvlText w:val="o"/>
      <w:lvlJc w:val="left"/>
      <w:pPr>
        <w:ind w:left="1080" w:hanging="360"/>
      </w:pPr>
      <w:rPr>
        <w:rFonts w:ascii="Courier New" w:hAnsi="Courier New" w:cs="Courier New"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CF17710"/>
    <w:multiLevelType w:val="hybridMultilevel"/>
    <w:tmpl w:val="C43224A2"/>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2" w15:restartNumberingAfterBreak="0">
    <w:nsid w:val="4D045784"/>
    <w:multiLevelType w:val="hybridMultilevel"/>
    <w:tmpl w:val="1ED2D540"/>
    <w:lvl w:ilvl="0" w:tplc="FFFFFFFF">
      <w:start w:val="1"/>
      <w:numFmt w:val="upperRoman"/>
      <w:lvlText w:val="%1."/>
      <w:lvlJc w:val="left"/>
      <w:pPr>
        <w:ind w:left="644" w:hanging="360"/>
      </w:pPr>
      <w:rPr>
        <w:rFonts w:hint="default"/>
        <w:b w:val="0"/>
        <w:bCs w:val="0"/>
      </w:rPr>
    </w:lvl>
    <w:lvl w:ilvl="1" w:tplc="197639F4">
      <w:start w:val="2"/>
      <w:numFmt w:val="upperRoman"/>
      <w:lvlText w:val="%2.1"/>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58B7C27"/>
    <w:multiLevelType w:val="hybridMultilevel"/>
    <w:tmpl w:val="F8A0A1B0"/>
    <w:lvl w:ilvl="0" w:tplc="83D61E6A">
      <w:start w:val="1"/>
      <w:numFmt w:val="decimal"/>
      <w:lvlText w:val="%1."/>
      <w:lvlJc w:val="left"/>
      <w:pPr>
        <w:ind w:left="360" w:hanging="360"/>
      </w:pPr>
      <w:rPr>
        <w:rFonts w:hint="default"/>
        <w:b w:val="0"/>
        <w:bCs w:val="0"/>
        <w:color w:val="auto"/>
        <w:sz w:val="22"/>
        <w:szCs w:val="12"/>
      </w:rPr>
    </w:lvl>
    <w:lvl w:ilvl="1" w:tplc="040C0001">
      <w:start w:val="1"/>
      <w:numFmt w:val="bullet"/>
      <w:lvlText w:val=""/>
      <w:lvlJc w:val="left"/>
      <w:pPr>
        <w:ind w:left="36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A25067"/>
    <w:multiLevelType w:val="hybridMultilevel"/>
    <w:tmpl w:val="931CFBE2"/>
    <w:lvl w:ilvl="0" w:tplc="CDB4F084">
      <w:start w:val="1"/>
      <w:numFmt w:val="upperRoman"/>
      <w:lvlText w:val="%1."/>
      <w:lvlJc w:val="left"/>
      <w:pPr>
        <w:ind w:left="644" w:hanging="360"/>
      </w:pPr>
      <w:rPr>
        <w:rFonts w:hint="default"/>
        <w:b/>
        <w:bCs/>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58173ED6"/>
    <w:multiLevelType w:val="hybridMultilevel"/>
    <w:tmpl w:val="9B1AB37C"/>
    <w:lvl w:ilvl="0" w:tplc="2648E772">
      <w:start w:val="1"/>
      <w:numFmt w:val="lowerRoman"/>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BBA135F"/>
    <w:multiLevelType w:val="hybridMultilevel"/>
    <w:tmpl w:val="969C6500"/>
    <w:lvl w:ilvl="0" w:tplc="C7A24C42">
      <w:start w:val="1"/>
      <w:numFmt w:val="decimal"/>
      <w:lvlText w:val="%1."/>
      <w:lvlJc w:val="left"/>
      <w:pPr>
        <w:ind w:left="1298" w:hanging="360"/>
      </w:pPr>
      <w:rPr>
        <w:rFonts w:hint="default"/>
        <w:b w:val="0"/>
        <w:bCs w:val="0"/>
        <w:color w:val="auto"/>
        <w:sz w:val="22"/>
        <w:szCs w:val="1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8E5527"/>
    <w:multiLevelType w:val="hybridMultilevel"/>
    <w:tmpl w:val="EBE8DD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0FF3239"/>
    <w:multiLevelType w:val="hybridMultilevel"/>
    <w:tmpl w:val="0382D462"/>
    <w:lvl w:ilvl="0" w:tplc="375AEDB2">
      <w:start w:val="2"/>
      <w:numFmt w:val="upperRoman"/>
      <w:lvlText w:val="%1.3"/>
      <w:lvlJc w:val="left"/>
      <w:pPr>
        <w:ind w:left="136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D956B1"/>
    <w:multiLevelType w:val="hybridMultilevel"/>
    <w:tmpl w:val="2FA43420"/>
    <w:lvl w:ilvl="0" w:tplc="2648E772">
      <w:start w:val="1"/>
      <w:numFmt w:val="lowerRoman"/>
      <w:lvlText w:val="%1."/>
      <w:lvlJc w:val="left"/>
      <w:pPr>
        <w:ind w:left="360" w:hanging="360"/>
      </w:pPr>
      <w:rPr>
        <w:rFonts w:hint="default"/>
        <w:b w:val="0"/>
        <w:bCs w:val="0"/>
      </w:rPr>
    </w:lvl>
    <w:lvl w:ilvl="1" w:tplc="040C0019" w:tentative="1">
      <w:start w:val="1"/>
      <w:numFmt w:val="lowerLetter"/>
      <w:lvlText w:val="%2."/>
      <w:lvlJc w:val="left"/>
      <w:pPr>
        <w:ind w:left="1089" w:hanging="360"/>
      </w:pPr>
    </w:lvl>
    <w:lvl w:ilvl="2" w:tplc="040C001B" w:tentative="1">
      <w:start w:val="1"/>
      <w:numFmt w:val="lowerRoman"/>
      <w:lvlText w:val="%3."/>
      <w:lvlJc w:val="right"/>
      <w:pPr>
        <w:ind w:left="1809" w:hanging="180"/>
      </w:pPr>
    </w:lvl>
    <w:lvl w:ilvl="3" w:tplc="040C000F" w:tentative="1">
      <w:start w:val="1"/>
      <w:numFmt w:val="decimal"/>
      <w:lvlText w:val="%4."/>
      <w:lvlJc w:val="left"/>
      <w:pPr>
        <w:ind w:left="2529" w:hanging="360"/>
      </w:pPr>
    </w:lvl>
    <w:lvl w:ilvl="4" w:tplc="040C0019" w:tentative="1">
      <w:start w:val="1"/>
      <w:numFmt w:val="lowerLetter"/>
      <w:lvlText w:val="%5."/>
      <w:lvlJc w:val="left"/>
      <w:pPr>
        <w:ind w:left="3249" w:hanging="360"/>
      </w:pPr>
    </w:lvl>
    <w:lvl w:ilvl="5" w:tplc="040C001B" w:tentative="1">
      <w:start w:val="1"/>
      <w:numFmt w:val="lowerRoman"/>
      <w:lvlText w:val="%6."/>
      <w:lvlJc w:val="right"/>
      <w:pPr>
        <w:ind w:left="3969" w:hanging="180"/>
      </w:pPr>
    </w:lvl>
    <w:lvl w:ilvl="6" w:tplc="040C000F" w:tentative="1">
      <w:start w:val="1"/>
      <w:numFmt w:val="decimal"/>
      <w:lvlText w:val="%7."/>
      <w:lvlJc w:val="left"/>
      <w:pPr>
        <w:ind w:left="4689" w:hanging="360"/>
      </w:pPr>
    </w:lvl>
    <w:lvl w:ilvl="7" w:tplc="040C0019" w:tentative="1">
      <w:start w:val="1"/>
      <w:numFmt w:val="lowerLetter"/>
      <w:lvlText w:val="%8."/>
      <w:lvlJc w:val="left"/>
      <w:pPr>
        <w:ind w:left="5409" w:hanging="360"/>
      </w:pPr>
    </w:lvl>
    <w:lvl w:ilvl="8" w:tplc="040C001B" w:tentative="1">
      <w:start w:val="1"/>
      <w:numFmt w:val="lowerRoman"/>
      <w:lvlText w:val="%9."/>
      <w:lvlJc w:val="right"/>
      <w:pPr>
        <w:ind w:left="6129" w:hanging="180"/>
      </w:pPr>
    </w:lvl>
  </w:abstractNum>
  <w:abstractNum w:abstractNumId="20" w15:restartNumberingAfterBreak="0">
    <w:nsid w:val="7D6F7141"/>
    <w:multiLevelType w:val="hybridMultilevel"/>
    <w:tmpl w:val="FD64899C"/>
    <w:lvl w:ilvl="0" w:tplc="AC80171C">
      <w:start w:val="1"/>
      <w:numFmt w:val="lowerLetter"/>
      <w:lvlText w:val="%1."/>
      <w:lvlJc w:val="left"/>
      <w:pPr>
        <w:ind w:left="1364"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4549818">
    <w:abstractNumId w:val="10"/>
  </w:num>
  <w:num w:numId="2" w16cid:durableId="267273673">
    <w:abstractNumId w:val="9"/>
  </w:num>
  <w:num w:numId="3" w16cid:durableId="1633167894">
    <w:abstractNumId w:val="0"/>
  </w:num>
  <w:num w:numId="4" w16cid:durableId="782842722">
    <w:abstractNumId w:val="14"/>
  </w:num>
  <w:num w:numId="5" w16cid:durableId="863905140">
    <w:abstractNumId w:val="12"/>
  </w:num>
  <w:num w:numId="6" w16cid:durableId="768816005">
    <w:abstractNumId w:val="5"/>
  </w:num>
  <w:num w:numId="7" w16cid:durableId="1366953198">
    <w:abstractNumId w:val="6"/>
  </w:num>
  <w:num w:numId="8" w16cid:durableId="1967852472">
    <w:abstractNumId w:val="11"/>
  </w:num>
  <w:num w:numId="9" w16cid:durableId="1838306042">
    <w:abstractNumId w:val="4"/>
  </w:num>
  <w:num w:numId="10" w16cid:durableId="1566599344">
    <w:abstractNumId w:val="18"/>
  </w:num>
  <w:num w:numId="11" w16cid:durableId="851802877">
    <w:abstractNumId w:val="1"/>
  </w:num>
  <w:num w:numId="12" w16cid:durableId="130755019">
    <w:abstractNumId w:val="2"/>
  </w:num>
  <w:num w:numId="13" w16cid:durableId="1730960141">
    <w:abstractNumId w:val="13"/>
  </w:num>
  <w:num w:numId="14" w16cid:durableId="1353915938">
    <w:abstractNumId w:val="7"/>
  </w:num>
  <w:num w:numId="15" w16cid:durableId="694698454">
    <w:abstractNumId w:val="20"/>
  </w:num>
  <w:num w:numId="16" w16cid:durableId="665017449">
    <w:abstractNumId w:val="16"/>
  </w:num>
  <w:num w:numId="17" w16cid:durableId="1682276017">
    <w:abstractNumId w:val="8"/>
  </w:num>
  <w:num w:numId="18" w16cid:durableId="1349600056">
    <w:abstractNumId w:val="17"/>
  </w:num>
  <w:num w:numId="19" w16cid:durableId="331764821">
    <w:abstractNumId w:val="3"/>
  </w:num>
  <w:num w:numId="20" w16cid:durableId="1031801525">
    <w:abstractNumId w:val="19"/>
  </w:num>
  <w:num w:numId="21" w16cid:durableId="211139142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35F"/>
    <w:rsid w:val="000013FA"/>
    <w:rsid w:val="00001536"/>
    <w:rsid w:val="000018F5"/>
    <w:rsid w:val="0000229E"/>
    <w:rsid w:val="00003B45"/>
    <w:rsid w:val="000040E8"/>
    <w:rsid w:val="00005085"/>
    <w:rsid w:val="00005648"/>
    <w:rsid w:val="00006795"/>
    <w:rsid w:val="00006D59"/>
    <w:rsid w:val="00007428"/>
    <w:rsid w:val="00007455"/>
    <w:rsid w:val="00007D54"/>
    <w:rsid w:val="0001050A"/>
    <w:rsid w:val="00010FE5"/>
    <w:rsid w:val="00014BBA"/>
    <w:rsid w:val="000150F7"/>
    <w:rsid w:val="00015BCC"/>
    <w:rsid w:val="00016575"/>
    <w:rsid w:val="000175A5"/>
    <w:rsid w:val="00020E2E"/>
    <w:rsid w:val="00021677"/>
    <w:rsid w:val="00021FF6"/>
    <w:rsid w:val="00023967"/>
    <w:rsid w:val="00024D61"/>
    <w:rsid w:val="00025354"/>
    <w:rsid w:val="00026D98"/>
    <w:rsid w:val="00027346"/>
    <w:rsid w:val="00030A03"/>
    <w:rsid w:val="00033178"/>
    <w:rsid w:val="00033B66"/>
    <w:rsid w:val="00033C3D"/>
    <w:rsid w:val="000350B7"/>
    <w:rsid w:val="00035832"/>
    <w:rsid w:val="00035897"/>
    <w:rsid w:val="0003598A"/>
    <w:rsid w:val="000403FF"/>
    <w:rsid w:val="0004049D"/>
    <w:rsid w:val="000413D1"/>
    <w:rsid w:val="00041A42"/>
    <w:rsid w:val="000423E7"/>
    <w:rsid w:val="00044C66"/>
    <w:rsid w:val="00045556"/>
    <w:rsid w:val="0004797F"/>
    <w:rsid w:val="00051DAF"/>
    <w:rsid w:val="00052C9E"/>
    <w:rsid w:val="0005514D"/>
    <w:rsid w:val="000553C3"/>
    <w:rsid w:val="000603EB"/>
    <w:rsid w:val="00060FF8"/>
    <w:rsid w:val="00061BD2"/>
    <w:rsid w:val="000627F9"/>
    <w:rsid w:val="000632B0"/>
    <w:rsid w:val="000636C7"/>
    <w:rsid w:val="000638D2"/>
    <w:rsid w:val="00063F17"/>
    <w:rsid w:val="00064556"/>
    <w:rsid w:val="00065AB8"/>
    <w:rsid w:val="00066EA5"/>
    <w:rsid w:val="00067CE2"/>
    <w:rsid w:val="000700B2"/>
    <w:rsid w:val="000707EF"/>
    <w:rsid w:val="0007188A"/>
    <w:rsid w:val="00072154"/>
    <w:rsid w:val="0007365C"/>
    <w:rsid w:val="00075841"/>
    <w:rsid w:val="00075930"/>
    <w:rsid w:val="00075BE0"/>
    <w:rsid w:val="00075CE1"/>
    <w:rsid w:val="0007745B"/>
    <w:rsid w:val="00077C2E"/>
    <w:rsid w:val="0008075E"/>
    <w:rsid w:val="00081BA2"/>
    <w:rsid w:val="000838B5"/>
    <w:rsid w:val="00084958"/>
    <w:rsid w:val="00084A98"/>
    <w:rsid w:val="00084DBF"/>
    <w:rsid w:val="00085660"/>
    <w:rsid w:val="00086037"/>
    <w:rsid w:val="00090595"/>
    <w:rsid w:val="00092A3C"/>
    <w:rsid w:val="0009385E"/>
    <w:rsid w:val="000A0A73"/>
    <w:rsid w:val="000A342F"/>
    <w:rsid w:val="000A373D"/>
    <w:rsid w:val="000A5D60"/>
    <w:rsid w:val="000A7A57"/>
    <w:rsid w:val="000A7FCA"/>
    <w:rsid w:val="000B0245"/>
    <w:rsid w:val="000B1B1B"/>
    <w:rsid w:val="000B212B"/>
    <w:rsid w:val="000B24CB"/>
    <w:rsid w:val="000B358A"/>
    <w:rsid w:val="000B3A97"/>
    <w:rsid w:val="000B3E0A"/>
    <w:rsid w:val="000B4E17"/>
    <w:rsid w:val="000B523D"/>
    <w:rsid w:val="000B6683"/>
    <w:rsid w:val="000B689A"/>
    <w:rsid w:val="000C20AE"/>
    <w:rsid w:val="000C6B6E"/>
    <w:rsid w:val="000C6EF2"/>
    <w:rsid w:val="000C725D"/>
    <w:rsid w:val="000D0E11"/>
    <w:rsid w:val="000D1548"/>
    <w:rsid w:val="000D18E7"/>
    <w:rsid w:val="000D35DD"/>
    <w:rsid w:val="000D37D6"/>
    <w:rsid w:val="000D440E"/>
    <w:rsid w:val="000D4A05"/>
    <w:rsid w:val="000D5C27"/>
    <w:rsid w:val="000D741F"/>
    <w:rsid w:val="000E0619"/>
    <w:rsid w:val="000E063D"/>
    <w:rsid w:val="000E0AC1"/>
    <w:rsid w:val="000E173A"/>
    <w:rsid w:val="000E27C0"/>
    <w:rsid w:val="000E359F"/>
    <w:rsid w:val="000E4017"/>
    <w:rsid w:val="000E4AA0"/>
    <w:rsid w:val="000E5FA2"/>
    <w:rsid w:val="000E64EC"/>
    <w:rsid w:val="000F16BD"/>
    <w:rsid w:val="000F40E3"/>
    <w:rsid w:val="000F546A"/>
    <w:rsid w:val="000F5C2F"/>
    <w:rsid w:val="000F5E0A"/>
    <w:rsid w:val="000F61F1"/>
    <w:rsid w:val="000F7613"/>
    <w:rsid w:val="000F7786"/>
    <w:rsid w:val="000F78B5"/>
    <w:rsid w:val="001008E3"/>
    <w:rsid w:val="001019C7"/>
    <w:rsid w:val="00102A9C"/>
    <w:rsid w:val="00104333"/>
    <w:rsid w:val="00104740"/>
    <w:rsid w:val="00105956"/>
    <w:rsid w:val="00106D91"/>
    <w:rsid w:val="00107023"/>
    <w:rsid w:val="001076E0"/>
    <w:rsid w:val="001079A6"/>
    <w:rsid w:val="00107E26"/>
    <w:rsid w:val="001108E5"/>
    <w:rsid w:val="00111243"/>
    <w:rsid w:val="0011126E"/>
    <w:rsid w:val="00111296"/>
    <w:rsid w:val="00111866"/>
    <w:rsid w:val="0011359D"/>
    <w:rsid w:val="00114751"/>
    <w:rsid w:val="001169B8"/>
    <w:rsid w:val="00116C37"/>
    <w:rsid w:val="0011735F"/>
    <w:rsid w:val="00117A62"/>
    <w:rsid w:val="00120327"/>
    <w:rsid w:val="00120A39"/>
    <w:rsid w:val="00120D03"/>
    <w:rsid w:val="001210E7"/>
    <w:rsid w:val="00121294"/>
    <w:rsid w:val="001212CA"/>
    <w:rsid w:val="00122A6D"/>
    <w:rsid w:val="001231C9"/>
    <w:rsid w:val="001232B4"/>
    <w:rsid w:val="00124531"/>
    <w:rsid w:val="00126117"/>
    <w:rsid w:val="001278CF"/>
    <w:rsid w:val="00130EE1"/>
    <w:rsid w:val="00131401"/>
    <w:rsid w:val="001314A4"/>
    <w:rsid w:val="0013177A"/>
    <w:rsid w:val="00134249"/>
    <w:rsid w:val="00135A32"/>
    <w:rsid w:val="001365A6"/>
    <w:rsid w:val="00136EFB"/>
    <w:rsid w:val="00137020"/>
    <w:rsid w:val="00140BF6"/>
    <w:rsid w:val="0014133F"/>
    <w:rsid w:val="0014370B"/>
    <w:rsid w:val="00144C3B"/>
    <w:rsid w:val="00146310"/>
    <w:rsid w:val="00146746"/>
    <w:rsid w:val="00147711"/>
    <w:rsid w:val="001478DF"/>
    <w:rsid w:val="00147911"/>
    <w:rsid w:val="0015013E"/>
    <w:rsid w:val="0015272A"/>
    <w:rsid w:val="00152AAF"/>
    <w:rsid w:val="00152CCC"/>
    <w:rsid w:val="00153483"/>
    <w:rsid w:val="00155E9E"/>
    <w:rsid w:val="001624DD"/>
    <w:rsid w:val="00163F98"/>
    <w:rsid w:val="0016482B"/>
    <w:rsid w:val="00166D45"/>
    <w:rsid w:val="00166F60"/>
    <w:rsid w:val="0016730A"/>
    <w:rsid w:val="0016775A"/>
    <w:rsid w:val="00167C22"/>
    <w:rsid w:val="00172252"/>
    <w:rsid w:val="0017328C"/>
    <w:rsid w:val="00174622"/>
    <w:rsid w:val="0017647B"/>
    <w:rsid w:val="001765BA"/>
    <w:rsid w:val="00180271"/>
    <w:rsid w:val="00180EB9"/>
    <w:rsid w:val="00181C5C"/>
    <w:rsid w:val="00183071"/>
    <w:rsid w:val="001832CC"/>
    <w:rsid w:val="001847AA"/>
    <w:rsid w:val="00184F17"/>
    <w:rsid w:val="001865C7"/>
    <w:rsid w:val="00186E91"/>
    <w:rsid w:val="00186FB2"/>
    <w:rsid w:val="00187C46"/>
    <w:rsid w:val="00191ED4"/>
    <w:rsid w:val="00192352"/>
    <w:rsid w:val="00192610"/>
    <w:rsid w:val="0019368D"/>
    <w:rsid w:val="00193839"/>
    <w:rsid w:val="001939F8"/>
    <w:rsid w:val="0019421D"/>
    <w:rsid w:val="0019463F"/>
    <w:rsid w:val="001959CD"/>
    <w:rsid w:val="00195F07"/>
    <w:rsid w:val="00196B22"/>
    <w:rsid w:val="00196BA0"/>
    <w:rsid w:val="00197C15"/>
    <w:rsid w:val="001A2D20"/>
    <w:rsid w:val="001A3E33"/>
    <w:rsid w:val="001A5F6E"/>
    <w:rsid w:val="001A70BA"/>
    <w:rsid w:val="001A782B"/>
    <w:rsid w:val="001B069E"/>
    <w:rsid w:val="001B1733"/>
    <w:rsid w:val="001B1A63"/>
    <w:rsid w:val="001B24B6"/>
    <w:rsid w:val="001B311B"/>
    <w:rsid w:val="001B33AB"/>
    <w:rsid w:val="001B3B56"/>
    <w:rsid w:val="001B52EA"/>
    <w:rsid w:val="001B5334"/>
    <w:rsid w:val="001B5D24"/>
    <w:rsid w:val="001B5F3C"/>
    <w:rsid w:val="001B67C9"/>
    <w:rsid w:val="001B69C1"/>
    <w:rsid w:val="001B6D66"/>
    <w:rsid w:val="001B77AD"/>
    <w:rsid w:val="001C0B71"/>
    <w:rsid w:val="001C0F62"/>
    <w:rsid w:val="001C3B90"/>
    <w:rsid w:val="001C5E54"/>
    <w:rsid w:val="001C6722"/>
    <w:rsid w:val="001C6EE1"/>
    <w:rsid w:val="001C74F8"/>
    <w:rsid w:val="001D056F"/>
    <w:rsid w:val="001D1D63"/>
    <w:rsid w:val="001D1EA5"/>
    <w:rsid w:val="001D25C2"/>
    <w:rsid w:val="001D3436"/>
    <w:rsid w:val="001D3BDD"/>
    <w:rsid w:val="001D4779"/>
    <w:rsid w:val="001D5BCA"/>
    <w:rsid w:val="001D6158"/>
    <w:rsid w:val="001D6BCC"/>
    <w:rsid w:val="001D6F5D"/>
    <w:rsid w:val="001D6FEE"/>
    <w:rsid w:val="001D755D"/>
    <w:rsid w:val="001E1875"/>
    <w:rsid w:val="001E1FEA"/>
    <w:rsid w:val="001E2659"/>
    <w:rsid w:val="001E3C2F"/>
    <w:rsid w:val="001E5774"/>
    <w:rsid w:val="001E62E2"/>
    <w:rsid w:val="001E6329"/>
    <w:rsid w:val="001E721A"/>
    <w:rsid w:val="001F050A"/>
    <w:rsid w:val="001F08EF"/>
    <w:rsid w:val="001F120E"/>
    <w:rsid w:val="001F1868"/>
    <w:rsid w:val="001F1F4C"/>
    <w:rsid w:val="001F3174"/>
    <w:rsid w:val="001F35AA"/>
    <w:rsid w:val="001F3FCF"/>
    <w:rsid w:val="001F4AF6"/>
    <w:rsid w:val="001F6E7A"/>
    <w:rsid w:val="001F7217"/>
    <w:rsid w:val="00200608"/>
    <w:rsid w:val="0020126A"/>
    <w:rsid w:val="0020140B"/>
    <w:rsid w:val="002034F1"/>
    <w:rsid w:val="002037FB"/>
    <w:rsid w:val="0020565F"/>
    <w:rsid w:val="00205CA0"/>
    <w:rsid w:val="002069D4"/>
    <w:rsid w:val="0020776F"/>
    <w:rsid w:val="002077EA"/>
    <w:rsid w:val="002077ED"/>
    <w:rsid w:val="00210D91"/>
    <w:rsid w:val="002118B0"/>
    <w:rsid w:val="002125DE"/>
    <w:rsid w:val="00213BC5"/>
    <w:rsid w:val="00213FB9"/>
    <w:rsid w:val="00215723"/>
    <w:rsid w:val="002157E8"/>
    <w:rsid w:val="002159D4"/>
    <w:rsid w:val="002163B2"/>
    <w:rsid w:val="00216525"/>
    <w:rsid w:val="00216C0E"/>
    <w:rsid w:val="002176E8"/>
    <w:rsid w:val="00220D8C"/>
    <w:rsid w:val="00225AFE"/>
    <w:rsid w:val="00226FE5"/>
    <w:rsid w:val="00227092"/>
    <w:rsid w:val="002303F5"/>
    <w:rsid w:val="002329CF"/>
    <w:rsid w:val="0023316F"/>
    <w:rsid w:val="00234772"/>
    <w:rsid w:val="002353EE"/>
    <w:rsid w:val="00235D11"/>
    <w:rsid w:val="00236F8F"/>
    <w:rsid w:val="00241026"/>
    <w:rsid w:val="002425AA"/>
    <w:rsid w:val="00242DBD"/>
    <w:rsid w:val="00243602"/>
    <w:rsid w:val="00244EB8"/>
    <w:rsid w:val="00245CAC"/>
    <w:rsid w:val="00246066"/>
    <w:rsid w:val="002463CC"/>
    <w:rsid w:val="00246980"/>
    <w:rsid w:val="00246F5C"/>
    <w:rsid w:val="00250327"/>
    <w:rsid w:val="00251D40"/>
    <w:rsid w:val="002528C5"/>
    <w:rsid w:val="00253CD1"/>
    <w:rsid w:val="00254AB0"/>
    <w:rsid w:val="0025730D"/>
    <w:rsid w:val="00257E54"/>
    <w:rsid w:val="00257EFB"/>
    <w:rsid w:val="00260B29"/>
    <w:rsid w:val="00261B40"/>
    <w:rsid w:val="00261E4E"/>
    <w:rsid w:val="002625C0"/>
    <w:rsid w:val="002647B3"/>
    <w:rsid w:val="00264C19"/>
    <w:rsid w:val="00265065"/>
    <w:rsid w:val="00266EE8"/>
    <w:rsid w:val="00266FE5"/>
    <w:rsid w:val="00270DC7"/>
    <w:rsid w:val="00271743"/>
    <w:rsid w:val="00271CA3"/>
    <w:rsid w:val="00272501"/>
    <w:rsid w:val="00272BC1"/>
    <w:rsid w:val="0027435F"/>
    <w:rsid w:val="002744BB"/>
    <w:rsid w:val="00274F58"/>
    <w:rsid w:val="00276290"/>
    <w:rsid w:val="00276EE6"/>
    <w:rsid w:val="00276F66"/>
    <w:rsid w:val="0028175E"/>
    <w:rsid w:val="00281857"/>
    <w:rsid w:val="00282EBA"/>
    <w:rsid w:val="002830DB"/>
    <w:rsid w:val="00283D85"/>
    <w:rsid w:val="002842DF"/>
    <w:rsid w:val="00285B17"/>
    <w:rsid w:val="00290F46"/>
    <w:rsid w:val="0029195E"/>
    <w:rsid w:val="0029468F"/>
    <w:rsid w:val="0029473D"/>
    <w:rsid w:val="00294F73"/>
    <w:rsid w:val="00295133"/>
    <w:rsid w:val="00295DD1"/>
    <w:rsid w:val="00296284"/>
    <w:rsid w:val="00296BE0"/>
    <w:rsid w:val="00297536"/>
    <w:rsid w:val="002A16BD"/>
    <w:rsid w:val="002A1A93"/>
    <w:rsid w:val="002A2166"/>
    <w:rsid w:val="002A30A5"/>
    <w:rsid w:val="002A42E9"/>
    <w:rsid w:val="002A46EB"/>
    <w:rsid w:val="002A633F"/>
    <w:rsid w:val="002A69AD"/>
    <w:rsid w:val="002B146C"/>
    <w:rsid w:val="002B24ED"/>
    <w:rsid w:val="002B2F40"/>
    <w:rsid w:val="002B30BE"/>
    <w:rsid w:val="002B3CDE"/>
    <w:rsid w:val="002B5141"/>
    <w:rsid w:val="002B583A"/>
    <w:rsid w:val="002B7607"/>
    <w:rsid w:val="002B78AC"/>
    <w:rsid w:val="002B7A34"/>
    <w:rsid w:val="002C008D"/>
    <w:rsid w:val="002C0137"/>
    <w:rsid w:val="002C153F"/>
    <w:rsid w:val="002C2E29"/>
    <w:rsid w:val="002C50CD"/>
    <w:rsid w:val="002C6ABC"/>
    <w:rsid w:val="002C73EE"/>
    <w:rsid w:val="002D1C1F"/>
    <w:rsid w:val="002D1CC5"/>
    <w:rsid w:val="002D1F63"/>
    <w:rsid w:val="002D24EC"/>
    <w:rsid w:val="002D29B9"/>
    <w:rsid w:val="002D4625"/>
    <w:rsid w:val="002D4C7C"/>
    <w:rsid w:val="002D549F"/>
    <w:rsid w:val="002D633F"/>
    <w:rsid w:val="002E0D56"/>
    <w:rsid w:val="002E124A"/>
    <w:rsid w:val="002E2029"/>
    <w:rsid w:val="002E220A"/>
    <w:rsid w:val="002E248F"/>
    <w:rsid w:val="002E279E"/>
    <w:rsid w:val="002E33AA"/>
    <w:rsid w:val="002E3769"/>
    <w:rsid w:val="002E4397"/>
    <w:rsid w:val="002E58D1"/>
    <w:rsid w:val="002E6736"/>
    <w:rsid w:val="002F00EA"/>
    <w:rsid w:val="002F1808"/>
    <w:rsid w:val="002F3ED0"/>
    <w:rsid w:val="002F430A"/>
    <w:rsid w:val="002F7C09"/>
    <w:rsid w:val="0030035E"/>
    <w:rsid w:val="00300BC7"/>
    <w:rsid w:val="0030289D"/>
    <w:rsid w:val="0030319C"/>
    <w:rsid w:val="00303C0B"/>
    <w:rsid w:val="00303E27"/>
    <w:rsid w:val="00303EA4"/>
    <w:rsid w:val="00304439"/>
    <w:rsid w:val="00307932"/>
    <w:rsid w:val="00311A02"/>
    <w:rsid w:val="00312485"/>
    <w:rsid w:val="00312C8F"/>
    <w:rsid w:val="0031466E"/>
    <w:rsid w:val="00314FE3"/>
    <w:rsid w:val="0031593A"/>
    <w:rsid w:val="003176FB"/>
    <w:rsid w:val="0032005C"/>
    <w:rsid w:val="0032149D"/>
    <w:rsid w:val="00321A15"/>
    <w:rsid w:val="00321E36"/>
    <w:rsid w:val="00322331"/>
    <w:rsid w:val="00323A54"/>
    <w:rsid w:val="0032400D"/>
    <w:rsid w:val="0032579A"/>
    <w:rsid w:val="00325FC2"/>
    <w:rsid w:val="003269AC"/>
    <w:rsid w:val="003304BB"/>
    <w:rsid w:val="00330C2F"/>
    <w:rsid w:val="00332C24"/>
    <w:rsid w:val="00332CAA"/>
    <w:rsid w:val="00332E24"/>
    <w:rsid w:val="003331B9"/>
    <w:rsid w:val="00334789"/>
    <w:rsid w:val="003349CC"/>
    <w:rsid w:val="00334A2D"/>
    <w:rsid w:val="003359AE"/>
    <w:rsid w:val="00335E6A"/>
    <w:rsid w:val="00337EDA"/>
    <w:rsid w:val="00340BE4"/>
    <w:rsid w:val="00341C1F"/>
    <w:rsid w:val="00341E1B"/>
    <w:rsid w:val="00341F85"/>
    <w:rsid w:val="00343117"/>
    <w:rsid w:val="003432EB"/>
    <w:rsid w:val="003433DD"/>
    <w:rsid w:val="00344D86"/>
    <w:rsid w:val="0034519A"/>
    <w:rsid w:val="00346536"/>
    <w:rsid w:val="00347610"/>
    <w:rsid w:val="00351694"/>
    <w:rsid w:val="00353E8B"/>
    <w:rsid w:val="0035644B"/>
    <w:rsid w:val="003573E4"/>
    <w:rsid w:val="00360872"/>
    <w:rsid w:val="003614D5"/>
    <w:rsid w:val="00361769"/>
    <w:rsid w:val="00361F3A"/>
    <w:rsid w:val="00362542"/>
    <w:rsid w:val="00362FBF"/>
    <w:rsid w:val="00363713"/>
    <w:rsid w:val="00364651"/>
    <w:rsid w:val="003646D4"/>
    <w:rsid w:val="00364F87"/>
    <w:rsid w:val="003660A2"/>
    <w:rsid w:val="00366415"/>
    <w:rsid w:val="00373233"/>
    <w:rsid w:val="003734FD"/>
    <w:rsid w:val="00375A7F"/>
    <w:rsid w:val="00376BF2"/>
    <w:rsid w:val="00376C78"/>
    <w:rsid w:val="00377124"/>
    <w:rsid w:val="00380CFA"/>
    <w:rsid w:val="00385584"/>
    <w:rsid w:val="003858B6"/>
    <w:rsid w:val="0038676E"/>
    <w:rsid w:val="003873DB"/>
    <w:rsid w:val="00390280"/>
    <w:rsid w:val="003920CC"/>
    <w:rsid w:val="00392344"/>
    <w:rsid w:val="00392BBA"/>
    <w:rsid w:val="003933FA"/>
    <w:rsid w:val="003939C7"/>
    <w:rsid w:val="00394780"/>
    <w:rsid w:val="0039657C"/>
    <w:rsid w:val="00397A94"/>
    <w:rsid w:val="003A0514"/>
    <w:rsid w:val="003A0F60"/>
    <w:rsid w:val="003A205E"/>
    <w:rsid w:val="003A2E19"/>
    <w:rsid w:val="003A425D"/>
    <w:rsid w:val="003A4444"/>
    <w:rsid w:val="003A6649"/>
    <w:rsid w:val="003B03CB"/>
    <w:rsid w:val="003B179B"/>
    <w:rsid w:val="003B2232"/>
    <w:rsid w:val="003B2464"/>
    <w:rsid w:val="003B3D04"/>
    <w:rsid w:val="003B46A9"/>
    <w:rsid w:val="003B4CEF"/>
    <w:rsid w:val="003B52B7"/>
    <w:rsid w:val="003B76B6"/>
    <w:rsid w:val="003C2567"/>
    <w:rsid w:val="003C3A88"/>
    <w:rsid w:val="003C3CE7"/>
    <w:rsid w:val="003C45C5"/>
    <w:rsid w:val="003C4F7A"/>
    <w:rsid w:val="003C68D5"/>
    <w:rsid w:val="003C6BF3"/>
    <w:rsid w:val="003C6DCE"/>
    <w:rsid w:val="003D0735"/>
    <w:rsid w:val="003D07B5"/>
    <w:rsid w:val="003D14A9"/>
    <w:rsid w:val="003D18FC"/>
    <w:rsid w:val="003D2263"/>
    <w:rsid w:val="003D37D1"/>
    <w:rsid w:val="003D5208"/>
    <w:rsid w:val="003D6678"/>
    <w:rsid w:val="003D6C19"/>
    <w:rsid w:val="003D751B"/>
    <w:rsid w:val="003E0B69"/>
    <w:rsid w:val="003E103A"/>
    <w:rsid w:val="003E10F2"/>
    <w:rsid w:val="003E2CB8"/>
    <w:rsid w:val="003E3D0F"/>
    <w:rsid w:val="003E4480"/>
    <w:rsid w:val="003E47AD"/>
    <w:rsid w:val="003E557F"/>
    <w:rsid w:val="003E712B"/>
    <w:rsid w:val="003E765D"/>
    <w:rsid w:val="003E7C39"/>
    <w:rsid w:val="003F03F2"/>
    <w:rsid w:val="003F1870"/>
    <w:rsid w:val="003F34DB"/>
    <w:rsid w:val="003F5C32"/>
    <w:rsid w:val="003F6F01"/>
    <w:rsid w:val="003F75BD"/>
    <w:rsid w:val="00400B11"/>
    <w:rsid w:val="004011F2"/>
    <w:rsid w:val="00401C52"/>
    <w:rsid w:val="004021AB"/>
    <w:rsid w:val="004027BE"/>
    <w:rsid w:val="00402E19"/>
    <w:rsid w:val="004074FC"/>
    <w:rsid w:val="00407A37"/>
    <w:rsid w:val="004104D2"/>
    <w:rsid w:val="0041177B"/>
    <w:rsid w:val="004119C0"/>
    <w:rsid w:val="00412A41"/>
    <w:rsid w:val="0041464C"/>
    <w:rsid w:val="00414C7B"/>
    <w:rsid w:val="00415DDE"/>
    <w:rsid w:val="00416EDA"/>
    <w:rsid w:val="00417724"/>
    <w:rsid w:val="0042015F"/>
    <w:rsid w:val="0042147B"/>
    <w:rsid w:val="004219AA"/>
    <w:rsid w:val="004227B4"/>
    <w:rsid w:val="00423A23"/>
    <w:rsid w:val="0042442F"/>
    <w:rsid w:val="00424796"/>
    <w:rsid w:val="00425881"/>
    <w:rsid w:val="00425B39"/>
    <w:rsid w:val="00425FF1"/>
    <w:rsid w:val="00427415"/>
    <w:rsid w:val="00427A1C"/>
    <w:rsid w:val="00427B76"/>
    <w:rsid w:val="004302D0"/>
    <w:rsid w:val="00430AE0"/>
    <w:rsid w:val="00430B6E"/>
    <w:rsid w:val="004319C0"/>
    <w:rsid w:val="00431D0A"/>
    <w:rsid w:val="00432CD0"/>
    <w:rsid w:val="004331FD"/>
    <w:rsid w:val="00434372"/>
    <w:rsid w:val="004368F8"/>
    <w:rsid w:val="00437170"/>
    <w:rsid w:val="00437858"/>
    <w:rsid w:val="00440235"/>
    <w:rsid w:val="00441D4A"/>
    <w:rsid w:val="004424C9"/>
    <w:rsid w:val="00444908"/>
    <w:rsid w:val="00446723"/>
    <w:rsid w:val="00447267"/>
    <w:rsid w:val="00450CC3"/>
    <w:rsid w:val="00452262"/>
    <w:rsid w:val="00452C62"/>
    <w:rsid w:val="00452CFC"/>
    <w:rsid w:val="004536F3"/>
    <w:rsid w:val="00454698"/>
    <w:rsid w:val="00454EEC"/>
    <w:rsid w:val="004556A7"/>
    <w:rsid w:val="0045610A"/>
    <w:rsid w:val="00461770"/>
    <w:rsid w:val="00463302"/>
    <w:rsid w:val="0046374B"/>
    <w:rsid w:val="0046397F"/>
    <w:rsid w:val="00463E6E"/>
    <w:rsid w:val="0046413B"/>
    <w:rsid w:val="004657B7"/>
    <w:rsid w:val="00466E20"/>
    <w:rsid w:val="004707D7"/>
    <w:rsid w:val="0047214B"/>
    <w:rsid w:val="004721C3"/>
    <w:rsid w:val="00473068"/>
    <w:rsid w:val="00473083"/>
    <w:rsid w:val="004743E6"/>
    <w:rsid w:val="00475CF3"/>
    <w:rsid w:val="0048099A"/>
    <w:rsid w:val="00485459"/>
    <w:rsid w:val="00485F1D"/>
    <w:rsid w:val="00487BD4"/>
    <w:rsid w:val="00487FAF"/>
    <w:rsid w:val="00491698"/>
    <w:rsid w:val="00492EDC"/>
    <w:rsid w:val="00493612"/>
    <w:rsid w:val="00494720"/>
    <w:rsid w:val="004947D6"/>
    <w:rsid w:val="00494AF7"/>
    <w:rsid w:val="00495A11"/>
    <w:rsid w:val="004A01C2"/>
    <w:rsid w:val="004A0BC5"/>
    <w:rsid w:val="004A1481"/>
    <w:rsid w:val="004A18F4"/>
    <w:rsid w:val="004A285B"/>
    <w:rsid w:val="004A3F83"/>
    <w:rsid w:val="004A55F7"/>
    <w:rsid w:val="004A6712"/>
    <w:rsid w:val="004A741D"/>
    <w:rsid w:val="004B0C2D"/>
    <w:rsid w:val="004B2593"/>
    <w:rsid w:val="004B29AB"/>
    <w:rsid w:val="004B396D"/>
    <w:rsid w:val="004B49D6"/>
    <w:rsid w:val="004B6A05"/>
    <w:rsid w:val="004B73D9"/>
    <w:rsid w:val="004C23EE"/>
    <w:rsid w:val="004C3BDD"/>
    <w:rsid w:val="004C4C23"/>
    <w:rsid w:val="004C4E37"/>
    <w:rsid w:val="004C5270"/>
    <w:rsid w:val="004C5624"/>
    <w:rsid w:val="004C612B"/>
    <w:rsid w:val="004C648B"/>
    <w:rsid w:val="004C678A"/>
    <w:rsid w:val="004C6AFC"/>
    <w:rsid w:val="004D041A"/>
    <w:rsid w:val="004D0A3D"/>
    <w:rsid w:val="004D28AD"/>
    <w:rsid w:val="004D4515"/>
    <w:rsid w:val="004D46A7"/>
    <w:rsid w:val="004D4E0B"/>
    <w:rsid w:val="004D4F87"/>
    <w:rsid w:val="004D5CBE"/>
    <w:rsid w:val="004D6448"/>
    <w:rsid w:val="004D67F6"/>
    <w:rsid w:val="004D7264"/>
    <w:rsid w:val="004D7B69"/>
    <w:rsid w:val="004E1219"/>
    <w:rsid w:val="004E15DF"/>
    <w:rsid w:val="004E45B5"/>
    <w:rsid w:val="004E48C2"/>
    <w:rsid w:val="004E5C0A"/>
    <w:rsid w:val="004E6700"/>
    <w:rsid w:val="004E770A"/>
    <w:rsid w:val="004F1049"/>
    <w:rsid w:val="004F11D1"/>
    <w:rsid w:val="004F1430"/>
    <w:rsid w:val="004F1C03"/>
    <w:rsid w:val="004F3718"/>
    <w:rsid w:val="004F4B50"/>
    <w:rsid w:val="004F53F0"/>
    <w:rsid w:val="004F60E7"/>
    <w:rsid w:val="004F788D"/>
    <w:rsid w:val="005005CF"/>
    <w:rsid w:val="0050086D"/>
    <w:rsid w:val="0050191D"/>
    <w:rsid w:val="005021CB"/>
    <w:rsid w:val="00502E42"/>
    <w:rsid w:val="005030CF"/>
    <w:rsid w:val="00503B22"/>
    <w:rsid w:val="005042F7"/>
    <w:rsid w:val="0050498A"/>
    <w:rsid w:val="00506BE5"/>
    <w:rsid w:val="00506C7C"/>
    <w:rsid w:val="0051092A"/>
    <w:rsid w:val="00510ADE"/>
    <w:rsid w:val="005110AD"/>
    <w:rsid w:val="005127CE"/>
    <w:rsid w:val="005142B8"/>
    <w:rsid w:val="00516DE3"/>
    <w:rsid w:val="005245D9"/>
    <w:rsid w:val="00530053"/>
    <w:rsid w:val="0053107F"/>
    <w:rsid w:val="00531DCF"/>
    <w:rsid w:val="00532B6D"/>
    <w:rsid w:val="00534010"/>
    <w:rsid w:val="00536719"/>
    <w:rsid w:val="00537092"/>
    <w:rsid w:val="00542758"/>
    <w:rsid w:val="00543975"/>
    <w:rsid w:val="00544D3D"/>
    <w:rsid w:val="00545174"/>
    <w:rsid w:val="00545BCA"/>
    <w:rsid w:val="005462CD"/>
    <w:rsid w:val="00547D91"/>
    <w:rsid w:val="005502DB"/>
    <w:rsid w:val="005505A5"/>
    <w:rsid w:val="00550A64"/>
    <w:rsid w:val="005519EF"/>
    <w:rsid w:val="00551E1A"/>
    <w:rsid w:val="005532A5"/>
    <w:rsid w:val="00553C58"/>
    <w:rsid w:val="0055570B"/>
    <w:rsid w:val="00555AA2"/>
    <w:rsid w:val="00556074"/>
    <w:rsid w:val="005562B2"/>
    <w:rsid w:val="005563B8"/>
    <w:rsid w:val="005572CF"/>
    <w:rsid w:val="0055755D"/>
    <w:rsid w:val="00560576"/>
    <w:rsid w:val="00560AB9"/>
    <w:rsid w:val="00560DD3"/>
    <w:rsid w:val="005627AA"/>
    <w:rsid w:val="00562BCB"/>
    <w:rsid w:val="00562F8F"/>
    <w:rsid w:val="00563025"/>
    <w:rsid w:val="0056359B"/>
    <w:rsid w:val="00565024"/>
    <w:rsid w:val="005651B1"/>
    <w:rsid w:val="00565365"/>
    <w:rsid w:val="00566683"/>
    <w:rsid w:val="00566818"/>
    <w:rsid w:val="00567278"/>
    <w:rsid w:val="00570699"/>
    <w:rsid w:val="00570D25"/>
    <w:rsid w:val="005710FE"/>
    <w:rsid w:val="00571D2F"/>
    <w:rsid w:val="0057204B"/>
    <w:rsid w:val="00573189"/>
    <w:rsid w:val="00574FE9"/>
    <w:rsid w:val="00575A71"/>
    <w:rsid w:val="00580739"/>
    <w:rsid w:val="00581BE8"/>
    <w:rsid w:val="00581C93"/>
    <w:rsid w:val="00582080"/>
    <w:rsid w:val="0058438B"/>
    <w:rsid w:val="005850AD"/>
    <w:rsid w:val="00586910"/>
    <w:rsid w:val="005873BC"/>
    <w:rsid w:val="00587C7E"/>
    <w:rsid w:val="00587FF4"/>
    <w:rsid w:val="00592110"/>
    <w:rsid w:val="0059262F"/>
    <w:rsid w:val="00594B15"/>
    <w:rsid w:val="005952E3"/>
    <w:rsid w:val="00596CF0"/>
    <w:rsid w:val="005970E5"/>
    <w:rsid w:val="005A0629"/>
    <w:rsid w:val="005A1077"/>
    <w:rsid w:val="005A2090"/>
    <w:rsid w:val="005A20D7"/>
    <w:rsid w:val="005A33C9"/>
    <w:rsid w:val="005A43DD"/>
    <w:rsid w:val="005A6493"/>
    <w:rsid w:val="005A6537"/>
    <w:rsid w:val="005B10AF"/>
    <w:rsid w:val="005B1FB1"/>
    <w:rsid w:val="005B236B"/>
    <w:rsid w:val="005B2753"/>
    <w:rsid w:val="005B5043"/>
    <w:rsid w:val="005B6266"/>
    <w:rsid w:val="005B6E0D"/>
    <w:rsid w:val="005B7011"/>
    <w:rsid w:val="005B7392"/>
    <w:rsid w:val="005B77EB"/>
    <w:rsid w:val="005B7AE4"/>
    <w:rsid w:val="005C18B1"/>
    <w:rsid w:val="005C1BE7"/>
    <w:rsid w:val="005C346E"/>
    <w:rsid w:val="005C4232"/>
    <w:rsid w:val="005C469D"/>
    <w:rsid w:val="005C61F3"/>
    <w:rsid w:val="005C6A5A"/>
    <w:rsid w:val="005C6FA9"/>
    <w:rsid w:val="005C73A8"/>
    <w:rsid w:val="005C753C"/>
    <w:rsid w:val="005C7D7F"/>
    <w:rsid w:val="005D0DE1"/>
    <w:rsid w:val="005D1B0A"/>
    <w:rsid w:val="005D1F35"/>
    <w:rsid w:val="005D2935"/>
    <w:rsid w:val="005D393B"/>
    <w:rsid w:val="005D4989"/>
    <w:rsid w:val="005D54C7"/>
    <w:rsid w:val="005D58B3"/>
    <w:rsid w:val="005E0021"/>
    <w:rsid w:val="005E04E2"/>
    <w:rsid w:val="005E0AC1"/>
    <w:rsid w:val="005E0C1F"/>
    <w:rsid w:val="005E163F"/>
    <w:rsid w:val="005E1A7D"/>
    <w:rsid w:val="005E1DEC"/>
    <w:rsid w:val="005E313D"/>
    <w:rsid w:val="005E3234"/>
    <w:rsid w:val="005E45D8"/>
    <w:rsid w:val="005E5152"/>
    <w:rsid w:val="005E52F8"/>
    <w:rsid w:val="005E5745"/>
    <w:rsid w:val="005E644B"/>
    <w:rsid w:val="005E77E0"/>
    <w:rsid w:val="005F16EF"/>
    <w:rsid w:val="005F2BCB"/>
    <w:rsid w:val="005F337F"/>
    <w:rsid w:val="005F3427"/>
    <w:rsid w:val="005F7186"/>
    <w:rsid w:val="00600AF2"/>
    <w:rsid w:val="00601641"/>
    <w:rsid w:val="0060166E"/>
    <w:rsid w:val="00601ABA"/>
    <w:rsid w:val="00604528"/>
    <w:rsid w:val="00604A89"/>
    <w:rsid w:val="00605CA7"/>
    <w:rsid w:val="00605FFF"/>
    <w:rsid w:val="00606C9E"/>
    <w:rsid w:val="00610040"/>
    <w:rsid w:val="00610F08"/>
    <w:rsid w:val="00613112"/>
    <w:rsid w:val="00614A6C"/>
    <w:rsid w:val="006159DD"/>
    <w:rsid w:val="00616F57"/>
    <w:rsid w:val="00617CCE"/>
    <w:rsid w:val="0062003D"/>
    <w:rsid w:val="00620543"/>
    <w:rsid w:val="00623174"/>
    <w:rsid w:val="00623BA3"/>
    <w:rsid w:val="00623D89"/>
    <w:rsid w:val="00625E30"/>
    <w:rsid w:val="00626DF5"/>
    <w:rsid w:val="00627813"/>
    <w:rsid w:val="006308B3"/>
    <w:rsid w:val="00632AFC"/>
    <w:rsid w:val="00633305"/>
    <w:rsid w:val="00634192"/>
    <w:rsid w:val="0063497D"/>
    <w:rsid w:val="00635876"/>
    <w:rsid w:val="00635E76"/>
    <w:rsid w:val="0063639F"/>
    <w:rsid w:val="00636A9F"/>
    <w:rsid w:val="00636CEC"/>
    <w:rsid w:val="00643BFF"/>
    <w:rsid w:val="00644B18"/>
    <w:rsid w:val="00644ED4"/>
    <w:rsid w:val="00645678"/>
    <w:rsid w:val="006465CA"/>
    <w:rsid w:val="00647480"/>
    <w:rsid w:val="0065020F"/>
    <w:rsid w:val="00651944"/>
    <w:rsid w:val="00652984"/>
    <w:rsid w:val="00652C6A"/>
    <w:rsid w:val="00653D90"/>
    <w:rsid w:val="0065550A"/>
    <w:rsid w:val="00655774"/>
    <w:rsid w:val="00655CEB"/>
    <w:rsid w:val="00660041"/>
    <w:rsid w:val="0066132D"/>
    <w:rsid w:val="00662D38"/>
    <w:rsid w:val="00663C77"/>
    <w:rsid w:val="00663E9D"/>
    <w:rsid w:val="00664406"/>
    <w:rsid w:val="00665612"/>
    <w:rsid w:val="0066580A"/>
    <w:rsid w:val="0066664C"/>
    <w:rsid w:val="00666B96"/>
    <w:rsid w:val="00666D7D"/>
    <w:rsid w:val="00666F8C"/>
    <w:rsid w:val="006673B6"/>
    <w:rsid w:val="00667FC7"/>
    <w:rsid w:val="00667FE2"/>
    <w:rsid w:val="006707C8"/>
    <w:rsid w:val="00671C34"/>
    <w:rsid w:val="006728C2"/>
    <w:rsid w:val="0067386A"/>
    <w:rsid w:val="00674CBC"/>
    <w:rsid w:val="00676682"/>
    <w:rsid w:val="006808B6"/>
    <w:rsid w:val="00680DAE"/>
    <w:rsid w:val="00681C75"/>
    <w:rsid w:val="00684400"/>
    <w:rsid w:val="00685E7B"/>
    <w:rsid w:val="00686B59"/>
    <w:rsid w:val="00686BC1"/>
    <w:rsid w:val="006902F1"/>
    <w:rsid w:val="00690530"/>
    <w:rsid w:val="00690B95"/>
    <w:rsid w:val="00691A42"/>
    <w:rsid w:val="0069294A"/>
    <w:rsid w:val="006931FA"/>
    <w:rsid w:val="0069343C"/>
    <w:rsid w:val="00694F73"/>
    <w:rsid w:val="00696E86"/>
    <w:rsid w:val="0069755E"/>
    <w:rsid w:val="00697CBC"/>
    <w:rsid w:val="006A01FA"/>
    <w:rsid w:val="006A1590"/>
    <w:rsid w:val="006A3C34"/>
    <w:rsid w:val="006A6E36"/>
    <w:rsid w:val="006A7057"/>
    <w:rsid w:val="006A7385"/>
    <w:rsid w:val="006A75D9"/>
    <w:rsid w:val="006B1A67"/>
    <w:rsid w:val="006B1B32"/>
    <w:rsid w:val="006B1E4F"/>
    <w:rsid w:val="006B2043"/>
    <w:rsid w:val="006B2830"/>
    <w:rsid w:val="006B2E2E"/>
    <w:rsid w:val="006B2FBE"/>
    <w:rsid w:val="006B3CF9"/>
    <w:rsid w:val="006B3FC1"/>
    <w:rsid w:val="006B51AA"/>
    <w:rsid w:val="006C097F"/>
    <w:rsid w:val="006C27A8"/>
    <w:rsid w:val="006C2D1C"/>
    <w:rsid w:val="006C4B97"/>
    <w:rsid w:val="006C5468"/>
    <w:rsid w:val="006C6475"/>
    <w:rsid w:val="006D3527"/>
    <w:rsid w:val="006D4438"/>
    <w:rsid w:val="006D5CB6"/>
    <w:rsid w:val="006D723B"/>
    <w:rsid w:val="006D7253"/>
    <w:rsid w:val="006E0907"/>
    <w:rsid w:val="006E11A2"/>
    <w:rsid w:val="006E3D32"/>
    <w:rsid w:val="006E4477"/>
    <w:rsid w:val="006E5B5A"/>
    <w:rsid w:val="006F085B"/>
    <w:rsid w:val="006F38B8"/>
    <w:rsid w:val="006F4360"/>
    <w:rsid w:val="006F536F"/>
    <w:rsid w:val="006F5C3B"/>
    <w:rsid w:val="006F5FCD"/>
    <w:rsid w:val="006F6452"/>
    <w:rsid w:val="006F7F87"/>
    <w:rsid w:val="007001C6"/>
    <w:rsid w:val="00701C65"/>
    <w:rsid w:val="007028A7"/>
    <w:rsid w:val="00702C41"/>
    <w:rsid w:val="00703367"/>
    <w:rsid w:val="00704FED"/>
    <w:rsid w:val="007052E9"/>
    <w:rsid w:val="00705A05"/>
    <w:rsid w:val="0070663F"/>
    <w:rsid w:val="00706B94"/>
    <w:rsid w:val="0070779D"/>
    <w:rsid w:val="00710802"/>
    <w:rsid w:val="0071124B"/>
    <w:rsid w:val="00711411"/>
    <w:rsid w:val="00711CF2"/>
    <w:rsid w:val="00712EFE"/>
    <w:rsid w:val="00713457"/>
    <w:rsid w:val="007159B1"/>
    <w:rsid w:val="00715AF3"/>
    <w:rsid w:val="00715C05"/>
    <w:rsid w:val="00717536"/>
    <w:rsid w:val="007200D7"/>
    <w:rsid w:val="00721776"/>
    <w:rsid w:val="00722654"/>
    <w:rsid w:val="00723270"/>
    <w:rsid w:val="0072721A"/>
    <w:rsid w:val="0073279B"/>
    <w:rsid w:val="00732A15"/>
    <w:rsid w:val="00732C62"/>
    <w:rsid w:val="00735253"/>
    <w:rsid w:val="0073659F"/>
    <w:rsid w:val="007368CB"/>
    <w:rsid w:val="00736B1B"/>
    <w:rsid w:val="00737C25"/>
    <w:rsid w:val="00740587"/>
    <w:rsid w:val="00741B02"/>
    <w:rsid w:val="00742DB5"/>
    <w:rsid w:val="00746AC9"/>
    <w:rsid w:val="00746E9D"/>
    <w:rsid w:val="007479AC"/>
    <w:rsid w:val="007479C6"/>
    <w:rsid w:val="00750E90"/>
    <w:rsid w:val="00751834"/>
    <w:rsid w:val="00752218"/>
    <w:rsid w:val="007527FD"/>
    <w:rsid w:val="00753586"/>
    <w:rsid w:val="007556B9"/>
    <w:rsid w:val="00756A2F"/>
    <w:rsid w:val="0075740B"/>
    <w:rsid w:val="007576A7"/>
    <w:rsid w:val="00761460"/>
    <w:rsid w:val="007625D4"/>
    <w:rsid w:val="007628C7"/>
    <w:rsid w:val="00762F56"/>
    <w:rsid w:val="007649B0"/>
    <w:rsid w:val="00765067"/>
    <w:rsid w:val="00765626"/>
    <w:rsid w:val="007657E2"/>
    <w:rsid w:val="00765FFD"/>
    <w:rsid w:val="00766336"/>
    <w:rsid w:val="00766524"/>
    <w:rsid w:val="00766DCA"/>
    <w:rsid w:val="00766E1C"/>
    <w:rsid w:val="00767580"/>
    <w:rsid w:val="00770470"/>
    <w:rsid w:val="00770AE3"/>
    <w:rsid w:val="00773A01"/>
    <w:rsid w:val="00773CF8"/>
    <w:rsid w:val="007742C2"/>
    <w:rsid w:val="0077487A"/>
    <w:rsid w:val="007774F8"/>
    <w:rsid w:val="00780E4A"/>
    <w:rsid w:val="007818F5"/>
    <w:rsid w:val="007824A4"/>
    <w:rsid w:val="00783C53"/>
    <w:rsid w:val="00785D2E"/>
    <w:rsid w:val="007869AC"/>
    <w:rsid w:val="00786A53"/>
    <w:rsid w:val="0078763C"/>
    <w:rsid w:val="00792CC1"/>
    <w:rsid w:val="00793448"/>
    <w:rsid w:val="00793513"/>
    <w:rsid w:val="00793E56"/>
    <w:rsid w:val="00794144"/>
    <w:rsid w:val="00794A3E"/>
    <w:rsid w:val="0079544C"/>
    <w:rsid w:val="00795BC8"/>
    <w:rsid w:val="00797060"/>
    <w:rsid w:val="007976BA"/>
    <w:rsid w:val="00797F44"/>
    <w:rsid w:val="007A0150"/>
    <w:rsid w:val="007A13AC"/>
    <w:rsid w:val="007A1890"/>
    <w:rsid w:val="007A2C67"/>
    <w:rsid w:val="007A31A2"/>
    <w:rsid w:val="007A3200"/>
    <w:rsid w:val="007A37B2"/>
    <w:rsid w:val="007A4304"/>
    <w:rsid w:val="007A6DA5"/>
    <w:rsid w:val="007B0788"/>
    <w:rsid w:val="007B1748"/>
    <w:rsid w:val="007B1822"/>
    <w:rsid w:val="007B278C"/>
    <w:rsid w:val="007B418C"/>
    <w:rsid w:val="007B4793"/>
    <w:rsid w:val="007B4F3D"/>
    <w:rsid w:val="007B57D0"/>
    <w:rsid w:val="007B6D3F"/>
    <w:rsid w:val="007C0547"/>
    <w:rsid w:val="007C200D"/>
    <w:rsid w:val="007C4550"/>
    <w:rsid w:val="007C4B6F"/>
    <w:rsid w:val="007D1A79"/>
    <w:rsid w:val="007D2F85"/>
    <w:rsid w:val="007D34F5"/>
    <w:rsid w:val="007D39C3"/>
    <w:rsid w:val="007D4A7D"/>
    <w:rsid w:val="007D5075"/>
    <w:rsid w:val="007D5971"/>
    <w:rsid w:val="007D603B"/>
    <w:rsid w:val="007D60EB"/>
    <w:rsid w:val="007D732A"/>
    <w:rsid w:val="007E0758"/>
    <w:rsid w:val="007E0839"/>
    <w:rsid w:val="007E08AA"/>
    <w:rsid w:val="007E1A46"/>
    <w:rsid w:val="007E27D4"/>
    <w:rsid w:val="007E3446"/>
    <w:rsid w:val="007E3855"/>
    <w:rsid w:val="007E4296"/>
    <w:rsid w:val="007E44B2"/>
    <w:rsid w:val="007E44B7"/>
    <w:rsid w:val="007E533C"/>
    <w:rsid w:val="007E5D7F"/>
    <w:rsid w:val="007E72BF"/>
    <w:rsid w:val="007F19CA"/>
    <w:rsid w:val="007F28AB"/>
    <w:rsid w:val="007F3618"/>
    <w:rsid w:val="007F7F8A"/>
    <w:rsid w:val="00800C50"/>
    <w:rsid w:val="00802C49"/>
    <w:rsid w:val="008052E6"/>
    <w:rsid w:val="00805C1E"/>
    <w:rsid w:val="0080684B"/>
    <w:rsid w:val="00807F27"/>
    <w:rsid w:val="008114F6"/>
    <w:rsid w:val="008130F0"/>
    <w:rsid w:val="00813616"/>
    <w:rsid w:val="008139FB"/>
    <w:rsid w:val="00815BFF"/>
    <w:rsid w:val="00816B70"/>
    <w:rsid w:val="00816D05"/>
    <w:rsid w:val="00817E48"/>
    <w:rsid w:val="00821855"/>
    <w:rsid w:val="0082216B"/>
    <w:rsid w:val="00826242"/>
    <w:rsid w:val="008262EE"/>
    <w:rsid w:val="00826A6C"/>
    <w:rsid w:val="00826DEF"/>
    <w:rsid w:val="00827502"/>
    <w:rsid w:val="00830F89"/>
    <w:rsid w:val="008310F1"/>
    <w:rsid w:val="00831B50"/>
    <w:rsid w:val="00832570"/>
    <w:rsid w:val="00832B02"/>
    <w:rsid w:val="00832DD3"/>
    <w:rsid w:val="00832E4D"/>
    <w:rsid w:val="00833154"/>
    <w:rsid w:val="00833350"/>
    <w:rsid w:val="008335E2"/>
    <w:rsid w:val="00835FC3"/>
    <w:rsid w:val="00840B82"/>
    <w:rsid w:val="00842768"/>
    <w:rsid w:val="008436D5"/>
    <w:rsid w:val="0085039B"/>
    <w:rsid w:val="00850F0B"/>
    <w:rsid w:val="008512B9"/>
    <w:rsid w:val="008517FF"/>
    <w:rsid w:val="0085229F"/>
    <w:rsid w:val="00852F5F"/>
    <w:rsid w:val="008532F2"/>
    <w:rsid w:val="008535A1"/>
    <w:rsid w:val="00853E61"/>
    <w:rsid w:val="00854ADB"/>
    <w:rsid w:val="00855E18"/>
    <w:rsid w:val="0085608B"/>
    <w:rsid w:val="008562F0"/>
    <w:rsid w:val="0085672C"/>
    <w:rsid w:val="0085767B"/>
    <w:rsid w:val="0085795A"/>
    <w:rsid w:val="008619F6"/>
    <w:rsid w:val="00861DC7"/>
    <w:rsid w:val="00861ED6"/>
    <w:rsid w:val="00865C0D"/>
    <w:rsid w:val="008666EE"/>
    <w:rsid w:val="00866738"/>
    <w:rsid w:val="00866C05"/>
    <w:rsid w:val="008676B4"/>
    <w:rsid w:val="00867E12"/>
    <w:rsid w:val="00874184"/>
    <w:rsid w:val="0087461B"/>
    <w:rsid w:val="00874C36"/>
    <w:rsid w:val="008751A6"/>
    <w:rsid w:val="0087604A"/>
    <w:rsid w:val="0087712E"/>
    <w:rsid w:val="00877DE7"/>
    <w:rsid w:val="008802CA"/>
    <w:rsid w:val="00881FA4"/>
    <w:rsid w:val="00882A4C"/>
    <w:rsid w:val="00883CE4"/>
    <w:rsid w:val="00883F61"/>
    <w:rsid w:val="00883F8F"/>
    <w:rsid w:val="00885D62"/>
    <w:rsid w:val="00886DD7"/>
    <w:rsid w:val="0089175A"/>
    <w:rsid w:val="0089255D"/>
    <w:rsid w:val="00893D6C"/>
    <w:rsid w:val="00894C00"/>
    <w:rsid w:val="00895B8C"/>
    <w:rsid w:val="00897482"/>
    <w:rsid w:val="008A0A71"/>
    <w:rsid w:val="008A163E"/>
    <w:rsid w:val="008A167D"/>
    <w:rsid w:val="008A1912"/>
    <w:rsid w:val="008A3176"/>
    <w:rsid w:val="008A38BA"/>
    <w:rsid w:val="008A3A02"/>
    <w:rsid w:val="008A53FA"/>
    <w:rsid w:val="008A5C63"/>
    <w:rsid w:val="008A61AB"/>
    <w:rsid w:val="008A6982"/>
    <w:rsid w:val="008A713E"/>
    <w:rsid w:val="008B06AC"/>
    <w:rsid w:val="008B1312"/>
    <w:rsid w:val="008B1B46"/>
    <w:rsid w:val="008B1C4D"/>
    <w:rsid w:val="008B3052"/>
    <w:rsid w:val="008B3814"/>
    <w:rsid w:val="008B48B0"/>
    <w:rsid w:val="008B52F4"/>
    <w:rsid w:val="008C0BBB"/>
    <w:rsid w:val="008C1274"/>
    <w:rsid w:val="008C164C"/>
    <w:rsid w:val="008C2CDD"/>
    <w:rsid w:val="008C35DA"/>
    <w:rsid w:val="008C43DC"/>
    <w:rsid w:val="008C45E7"/>
    <w:rsid w:val="008C4811"/>
    <w:rsid w:val="008C4E30"/>
    <w:rsid w:val="008C5226"/>
    <w:rsid w:val="008C5A39"/>
    <w:rsid w:val="008C5BE8"/>
    <w:rsid w:val="008C7B53"/>
    <w:rsid w:val="008D197B"/>
    <w:rsid w:val="008D2C99"/>
    <w:rsid w:val="008D31A1"/>
    <w:rsid w:val="008D5392"/>
    <w:rsid w:val="008D54FC"/>
    <w:rsid w:val="008D7476"/>
    <w:rsid w:val="008E051D"/>
    <w:rsid w:val="008E07AB"/>
    <w:rsid w:val="008E0A7E"/>
    <w:rsid w:val="008E0BFA"/>
    <w:rsid w:val="008E0E64"/>
    <w:rsid w:val="008E12AF"/>
    <w:rsid w:val="008E2F10"/>
    <w:rsid w:val="008E426B"/>
    <w:rsid w:val="008E6EB0"/>
    <w:rsid w:val="008F0CC9"/>
    <w:rsid w:val="008F1B08"/>
    <w:rsid w:val="008F2108"/>
    <w:rsid w:val="008F2D85"/>
    <w:rsid w:val="008F374D"/>
    <w:rsid w:val="008F4751"/>
    <w:rsid w:val="008F490E"/>
    <w:rsid w:val="008F4959"/>
    <w:rsid w:val="008F4C57"/>
    <w:rsid w:val="00901F29"/>
    <w:rsid w:val="0090379A"/>
    <w:rsid w:val="0090401D"/>
    <w:rsid w:val="00904567"/>
    <w:rsid w:val="009053AC"/>
    <w:rsid w:val="00905B80"/>
    <w:rsid w:val="00906366"/>
    <w:rsid w:val="00906892"/>
    <w:rsid w:val="009105BC"/>
    <w:rsid w:val="00911939"/>
    <w:rsid w:val="00912055"/>
    <w:rsid w:val="009130C4"/>
    <w:rsid w:val="00913BE7"/>
    <w:rsid w:val="0091498E"/>
    <w:rsid w:val="00917332"/>
    <w:rsid w:val="009175D8"/>
    <w:rsid w:val="00920C3A"/>
    <w:rsid w:val="009214FE"/>
    <w:rsid w:val="009229FC"/>
    <w:rsid w:val="009243E6"/>
    <w:rsid w:val="00924A29"/>
    <w:rsid w:val="0092529A"/>
    <w:rsid w:val="0092630E"/>
    <w:rsid w:val="00927293"/>
    <w:rsid w:val="00927BDB"/>
    <w:rsid w:val="009327B8"/>
    <w:rsid w:val="00933C60"/>
    <w:rsid w:val="009366EC"/>
    <w:rsid w:val="0094062E"/>
    <w:rsid w:val="009411C7"/>
    <w:rsid w:val="00941EA2"/>
    <w:rsid w:val="0094287F"/>
    <w:rsid w:val="00942F64"/>
    <w:rsid w:val="009438D3"/>
    <w:rsid w:val="00943958"/>
    <w:rsid w:val="009453DC"/>
    <w:rsid w:val="009462ED"/>
    <w:rsid w:val="009467DA"/>
    <w:rsid w:val="009475AE"/>
    <w:rsid w:val="009539B7"/>
    <w:rsid w:val="00953A80"/>
    <w:rsid w:val="0095447C"/>
    <w:rsid w:val="009633C6"/>
    <w:rsid w:val="00963683"/>
    <w:rsid w:val="0096369B"/>
    <w:rsid w:val="00963BAF"/>
    <w:rsid w:val="009657F8"/>
    <w:rsid w:val="00965E7E"/>
    <w:rsid w:val="00967778"/>
    <w:rsid w:val="00967A7E"/>
    <w:rsid w:val="00967AA6"/>
    <w:rsid w:val="00967E39"/>
    <w:rsid w:val="009708C3"/>
    <w:rsid w:val="00970B58"/>
    <w:rsid w:val="00970D42"/>
    <w:rsid w:val="009748A0"/>
    <w:rsid w:val="00974AA0"/>
    <w:rsid w:val="00975538"/>
    <w:rsid w:val="0097591D"/>
    <w:rsid w:val="00975B6A"/>
    <w:rsid w:val="009803D7"/>
    <w:rsid w:val="00983DCF"/>
    <w:rsid w:val="009865C5"/>
    <w:rsid w:val="00987742"/>
    <w:rsid w:val="00991342"/>
    <w:rsid w:val="00992ADA"/>
    <w:rsid w:val="009933B8"/>
    <w:rsid w:val="00993BF7"/>
    <w:rsid w:val="00993E7E"/>
    <w:rsid w:val="009960A9"/>
    <w:rsid w:val="00996DE7"/>
    <w:rsid w:val="009A07D0"/>
    <w:rsid w:val="009A0FC5"/>
    <w:rsid w:val="009A197B"/>
    <w:rsid w:val="009A34AE"/>
    <w:rsid w:val="009A49C9"/>
    <w:rsid w:val="009A542E"/>
    <w:rsid w:val="009A66DA"/>
    <w:rsid w:val="009A75F2"/>
    <w:rsid w:val="009B0DAA"/>
    <w:rsid w:val="009B0DD1"/>
    <w:rsid w:val="009B268C"/>
    <w:rsid w:val="009B2F6F"/>
    <w:rsid w:val="009B4EBB"/>
    <w:rsid w:val="009B53A3"/>
    <w:rsid w:val="009B57F8"/>
    <w:rsid w:val="009B613F"/>
    <w:rsid w:val="009B641C"/>
    <w:rsid w:val="009B64DE"/>
    <w:rsid w:val="009B7669"/>
    <w:rsid w:val="009B7991"/>
    <w:rsid w:val="009C02AC"/>
    <w:rsid w:val="009C0472"/>
    <w:rsid w:val="009C0F3F"/>
    <w:rsid w:val="009C12B2"/>
    <w:rsid w:val="009C2225"/>
    <w:rsid w:val="009C3DE9"/>
    <w:rsid w:val="009C5C2E"/>
    <w:rsid w:val="009C6ABF"/>
    <w:rsid w:val="009C6DC3"/>
    <w:rsid w:val="009C7B48"/>
    <w:rsid w:val="009D1536"/>
    <w:rsid w:val="009D1E83"/>
    <w:rsid w:val="009D255C"/>
    <w:rsid w:val="009D2821"/>
    <w:rsid w:val="009D3D04"/>
    <w:rsid w:val="009D5985"/>
    <w:rsid w:val="009E03C9"/>
    <w:rsid w:val="009E15B9"/>
    <w:rsid w:val="009E264C"/>
    <w:rsid w:val="009E32FC"/>
    <w:rsid w:val="009E3ADF"/>
    <w:rsid w:val="009E59A7"/>
    <w:rsid w:val="009E6079"/>
    <w:rsid w:val="009E6CE2"/>
    <w:rsid w:val="009E784F"/>
    <w:rsid w:val="009E7C4E"/>
    <w:rsid w:val="009F0597"/>
    <w:rsid w:val="009F100B"/>
    <w:rsid w:val="009F148E"/>
    <w:rsid w:val="009F1D55"/>
    <w:rsid w:val="009F207D"/>
    <w:rsid w:val="009F25CF"/>
    <w:rsid w:val="009F3933"/>
    <w:rsid w:val="009F5577"/>
    <w:rsid w:val="009F5F00"/>
    <w:rsid w:val="009F6EBA"/>
    <w:rsid w:val="00A00428"/>
    <w:rsid w:val="00A004FF"/>
    <w:rsid w:val="00A005D2"/>
    <w:rsid w:val="00A012AB"/>
    <w:rsid w:val="00A04C79"/>
    <w:rsid w:val="00A05BCD"/>
    <w:rsid w:val="00A0624F"/>
    <w:rsid w:val="00A07B64"/>
    <w:rsid w:val="00A10362"/>
    <w:rsid w:val="00A1296E"/>
    <w:rsid w:val="00A12FA8"/>
    <w:rsid w:val="00A1320C"/>
    <w:rsid w:val="00A13949"/>
    <w:rsid w:val="00A13B98"/>
    <w:rsid w:val="00A147ED"/>
    <w:rsid w:val="00A14D65"/>
    <w:rsid w:val="00A163A5"/>
    <w:rsid w:val="00A16E00"/>
    <w:rsid w:val="00A25AAC"/>
    <w:rsid w:val="00A26CCA"/>
    <w:rsid w:val="00A3047D"/>
    <w:rsid w:val="00A30882"/>
    <w:rsid w:val="00A3097C"/>
    <w:rsid w:val="00A3104A"/>
    <w:rsid w:val="00A31208"/>
    <w:rsid w:val="00A31A41"/>
    <w:rsid w:val="00A32C73"/>
    <w:rsid w:val="00A334B7"/>
    <w:rsid w:val="00A369C7"/>
    <w:rsid w:val="00A3732D"/>
    <w:rsid w:val="00A3754C"/>
    <w:rsid w:val="00A40145"/>
    <w:rsid w:val="00A42AF2"/>
    <w:rsid w:val="00A435AB"/>
    <w:rsid w:val="00A447E7"/>
    <w:rsid w:val="00A47024"/>
    <w:rsid w:val="00A47946"/>
    <w:rsid w:val="00A5003E"/>
    <w:rsid w:val="00A50E55"/>
    <w:rsid w:val="00A5123E"/>
    <w:rsid w:val="00A537E0"/>
    <w:rsid w:val="00A53D9F"/>
    <w:rsid w:val="00A55D15"/>
    <w:rsid w:val="00A56614"/>
    <w:rsid w:val="00A56B4A"/>
    <w:rsid w:val="00A571C8"/>
    <w:rsid w:val="00A61088"/>
    <w:rsid w:val="00A65C76"/>
    <w:rsid w:val="00A66EF3"/>
    <w:rsid w:val="00A6715C"/>
    <w:rsid w:val="00A70258"/>
    <w:rsid w:val="00A746BD"/>
    <w:rsid w:val="00A803BB"/>
    <w:rsid w:val="00A80D6E"/>
    <w:rsid w:val="00A848A4"/>
    <w:rsid w:val="00A875BC"/>
    <w:rsid w:val="00A8777C"/>
    <w:rsid w:val="00A9058D"/>
    <w:rsid w:val="00A942C0"/>
    <w:rsid w:val="00A94B06"/>
    <w:rsid w:val="00A94F65"/>
    <w:rsid w:val="00A952D0"/>
    <w:rsid w:val="00A953F5"/>
    <w:rsid w:val="00A9568D"/>
    <w:rsid w:val="00A97014"/>
    <w:rsid w:val="00A97B80"/>
    <w:rsid w:val="00AA05AC"/>
    <w:rsid w:val="00AA0E0E"/>
    <w:rsid w:val="00AA2B8C"/>
    <w:rsid w:val="00AA4594"/>
    <w:rsid w:val="00AA5095"/>
    <w:rsid w:val="00AA6BB7"/>
    <w:rsid w:val="00AA7B6F"/>
    <w:rsid w:val="00AB0D53"/>
    <w:rsid w:val="00AB25BE"/>
    <w:rsid w:val="00AB3F37"/>
    <w:rsid w:val="00AB40DD"/>
    <w:rsid w:val="00AB55EA"/>
    <w:rsid w:val="00AC02F4"/>
    <w:rsid w:val="00AC0966"/>
    <w:rsid w:val="00AC236B"/>
    <w:rsid w:val="00AC2BA8"/>
    <w:rsid w:val="00AC4D7F"/>
    <w:rsid w:val="00AC5818"/>
    <w:rsid w:val="00AC63BB"/>
    <w:rsid w:val="00AC6404"/>
    <w:rsid w:val="00AC65D7"/>
    <w:rsid w:val="00AC698E"/>
    <w:rsid w:val="00AC7E06"/>
    <w:rsid w:val="00AD0F2E"/>
    <w:rsid w:val="00AD16A2"/>
    <w:rsid w:val="00AD24DA"/>
    <w:rsid w:val="00AD27F5"/>
    <w:rsid w:val="00AD366B"/>
    <w:rsid w:val="00AD4EF9"/>
    <w:rsid w:val="00AD50EF"/>
    <w:rsid w:val="00AD6131"/>
    <w:rsid w:val="00AD61F6"/>
    <w:rsid w:val="00AD7789"/>
    <w:rsid w:val="00AE03DD"/>
    <w:rsid w:val="00AE0ED4"/>
    <w:rsid w:val="00AE1F4E"/>
    <w:rsid w:val="00AE31C4"/>
    <w:rsid w:val="00AE5A23"/>
    <w:rsid w:val="00AE5E26"/>
    <w:rsid w:val="00AE6347"/>
    <w:rsid w:val="00AE7DCC"/>
    <w:rsid w:val="00AF0853"/>
    <w:rsid w:val="00AF2414"/>
    <w:rsid w:val="00AF3266"/>
    <w:rsid w:val="00AF508A"/>
    <w:rsid w:val="00AF5824"/>
    <w:rsid w:val="00AF5945"/>
    <w:rsid w:val="00AF614E"/>
    <w:rsid w:val="00AF7FE4"/>
    <w:rsid w:val="00B01C6A"/>
    <w:rsid w:val="00B02485"/>
    <w:rsid w:val="00B02A2A"/>
    <w:rsid w:val="00B03B13"/>
    <w:rsid w:val="00B04BF8"/>
    <w:rsid w:val="00B0535E"/>
    <w:rsid w:val="00B071C7"/>
    <w:rsid w:val="00B078B8"/>
    <w:rsid w:val="00B10BA6"/>
    <w:rsid w:val="00B11C0F"/>
    <w:rsid w:val="00B1340F"/>
    <w:rsid w:val="00B15CFF"/>
    <w:rsid w:val="00B165C7"/>
    <w:rsid w:val="00B17F98"/>
    <w:rsid w:val="00B21B89"/>
    <w:rsid w:val="00B22144"/>
    <w:rsid w:val="00B267A2"/>
    <w:rsid w:val="00B26F48"/>
    <w:rsid w:val="00B305CF"/>
    <w:rsid w:val="00B30951"/>
    <w:rsid w:val="00B312E9"/>
    <w:rsid w:val="00B34682"/>
    <w:rsid w:val="00B3509B"/>
    <w:rsid w:val="00B3581F"/>
    <w:rsid w:val="00B35881"/>
    <w:rsid w:val="00B35B7A"/>
    <w:rsid w:val="00B36A1B"/>
    <w:rsid w:val="00B37EAA"/>
    <w:rsid w:val="00B40152"/>
    <w:rsid w:val="00B40F25"/>
    <w:rsid w:val="00B41663"/>
    <w:rsid w:val="00B41D61"/>
    <w:rsid w:val="00B43407"/>
    <w:rsid w:val="00B436BD"/>
    <w:rsid w:val="00B43799"/>
    <w:rsid w:val="00B45B60"/>
    <w:rsid w:val="00B47D22"/>
    <w:rsid w:val="00B5036F"/>
    <w:rsid w:val="00B52521"/>
    <w:rsid w:val="00B52E04"/>
    <w:rsid w:val="00B5431B"/>
    <w:rsid w:val="00B55E49"/>
    <w:rsid w:val="00B56210"/>
    <w:rsid w:val="00B57D59"/>
    <w:rsid w:val="00B57FB6"/>
    <w:rsid w:val="00B602E5"/>
    <w:rsid w:val="00B60580"/>
    <w:rsid w:val="00B60BF1"/>
    <w:rsid w:val="00B612CC"/>
    <w:rsid w:val="00B61C7C"/>
    <w:rsid w:val="00B6287F"/>
    <w:rsid w:val="00B63281"/>
    <w:rsid w:val="00B637A3"/>
    <w:rsid w:val="00B642ED"/>
    <w:rsid w:val="00B645C5"/>
    <w:rsid w:val="00B645D7"/>
    <w:rsid w:val="00B6583C"/>
    <w:rsid w:val="00B66094"/>
    <w:rsid w:val="00B66B34"/>
    <w:rsid w:val="00B66D0D"/>
    <w:rsid w:val="00B674CF"/>
    <w:rsid w:val="00B6777F"/>
    <w:rsid w:val="00B67CDD"/>
    <w:rsid w:val="00B71389"/>
    <w:rsid w:val="00B7176E"/>
    <w:rsid w:val="00B726F6"/>
    <w:rsid w:val="00B7480C"/>
    <w:rsid w:val="00B755B2"/>
    <w:rsid w:val="00B76058"/>
    <w:rsid w:val="00B76C38"/>
    <w:rsid w:val="00B80290"/>
    <w:rsid w:val="00B8031A"/>
    <w:rsid w:val="00B8057B"/>
    <w:rsid w:val="00B8239A"/>
    <w:rsid w:val="00B82412"/>
    <w:rsid w:val="00B82CA6"/>
    <w:rsid w:val="00B82DA3"/>
    <w:rsid w:val="00B83BEE"/>
    <w:rsid w:val="00B84193"/>
    <w:rsid w:val="00B842EC"/>
    <w:rsid w:val="00B84F84"/>
    <w:rsid w:val="00B851C9"/>
    <w:rsid w:val="00B85415"/>
    <w:rsid w:val="00B858E5"/>
    <w:rsid w:val="00B877B0"/>
    <w:rsid w:val="00B906AE"/>
    <w:rsid w:val="00B917EA"/>
    <w:rsid w:val="00B92327"/>
    <w:rsid w:val="00B93347"/>
    <w:rsid w:val="00B95A24"/>
    <w:rsid w:val="00BA0E79"/>
    <w:rsid w:val="00BA106F"/>
    <w:rsid w:val="00BA3DC5"/>
    <w:rsid w:val="00BA4387"/>
    <w:rsid w:val="00BA57DD"/>
    <w:rsid w:val="00BA59D6"/>
    <w:rsid w:val="00BA7389"/>
    <w:rsid w:val="00BA7572"/>
    <w:rsid w:val="00BA7A75"/>
    <w:rsid w:val="00BB016B"/>
    <w:rsid w:val="00BB0F7A"/>
    <w:rsid w:val="00BB4680"/>
    <w:rsid w:val="00BB61B6"/>
    <w:rsid w:val="00BB6910"/>
    <w:rsid w:val="00BB7360"/>
    <w:rsid w:val="00BB768F"/>
    <w:rsid w:val="00BC03A0"/>
    <w:rsid w:val="00BC2427"/>
    <w:rsid w:val="00BC2E1B"/>
    <w:rsid w:val="00BC392A"/>
    <w:rsid w:val="00BC57B4"/>
    <w:rsid w:val="00BC5B50"/>
    <w:rsid w:val="00BC5D90"/>
    <w:rsid w:val="00BC6027"/>
    <w:rsid w:val="00BC67D2"/>
    <w:rsid w:val="00BC7F41"/>
    <w:rsid w:val="00BD04C6"/>
    <w:rsid w:val="00BD2E58"/>
    <w:rsid w:val="00BD2FB8"/>
    <w:rsid w:val="00BD4291"/>
    <w:rsid w:val="00BD525F"/>
    <w:rsid w:val="00BD59A1"/>
    <w:rsid w:val="00BD5C9A"/>
    <w:rsid w:val="00BD71C7"/>
    <w:rsid w:val="00BE1BAD"/>
    <w:rsid w:val="00BE2045"/>
    <w:rsid w:val="00BE31A3"/>
    <w:rsid w:val="00BE5851"/>
    <w:rsid w:val="00BE6DB5"/>
    <w:rsid w:val="00BE748B"/>
    <w:rsid w:val="00BF111D"/>
    <w:rsid w:val="00BF2346"/>
    <w:rsid w:val="00BF2A20"/>
    <w:rsid w:val="00BF3A93"/>
    <w:rsid w:val="00BF59AF"/>
    <w:rsid w:val="00BF5A1A"/>
    <w:rsid w:val="00BF6020"/>
    <w:rsid w:val="00BF6041"/>
    <w:rsid w:val="00BF6F2A"/>
    <w:rsid w:val="00C007A4"/>
    <w:rsid w:val="00C02017"/>
    <w:rsid w:val="00C02C9C"/>
    <w:rsid w:val="00C06149"/>
    <w:rsid w:val="00C06379"/>
    <w:rsid w:val="00C06623"/>
    <w:rsid w:val="00C1004B"/>
    <w:rsid w:val="00C11A38"/>
    <w:rsid w:val="00C1316C"/>
    <w:rsid w:val="00C134AD"/>
    <w:rsid w:val="00C14469"/>
    <w:rsid w:val="00C1549B"/>
    <w:rsid w:val="00C15A40"/>
    <w:rsid w:val="00C16EAC"/>
    <w:rsid w:val="00C16FFB"/>
    <w:rsid w:val="00C178D1"/>
    <w:rsid w:val="00C209D4"/>
    <w:rsid w:val="00C21AFA"/>
    <w:rsid w:val="00C229B3"/>
    <w:rsid w:val="00C22AC6"/>
    <w:rsid w:val="00C22CD3"/>
    <w:rsid w:val="00C2326D"/>
    <w:rsid w:val="00C259EF"/>
    <w:rsid w:val="00C25FDF"/>
    <w:rsid w:val="00C26057"/>
    <w:rsid w:val="00C27648"/>
    <w:rsid w:val="00C30F6A"/>
    <w:rsid w:val="00C32583"/>
    <w:rsid w:val="00C33BC4"/>
    <w:rsid w:val="00C34066"/>
    <w:rsid w:val="00C35ED4"/>
    <w:rsid w:val="00C36462"/>
    <w:rsid w:val="00C40ADD"/>
    <w:rsid w:val="00C41877"/>
    <w:rsid w:val="00C41F3A"/>
    <w:rsid w:val="00C438AF"/>
    <w:rsid w:val="00C43C7C"/>
    <w:rsid w:val="00C4435B"/>
    <w:rsid w:val="00C44571"/>
    <w:rsid w:val="00C44E8D"/>
    <w:rsid w:val="00C52591"/>
    <w:rsid w:val="00C534E9"/>
    <w:rsid w:val="00C54603"/>
    <w:rsid w:val="00C55CB1"/>
    <w:rsid w:val="00C571EE"/>
    <w:rsid w:val="00C614F2"/>
    <w:rsid w:val="00C61DAD"/>
    <w:rsid w:val="00C624CC"/>
    <w:rsid w:val="00C63336"/>
    <w:rsid w:val="00C6384F"/>
    <w:rsid w:val="00C63B34"/>
    <w:rsid w:val="00C6778D"/>
    <w:rsid w:val="00C67E93"/>
    <w:rsid w:val="00C67F8A"/>
    <w:rsid w:val="00C70AD5"/>
    <w:rsid w:val="00C70C31"/>
    <w:rsid w:val="00C7192A"/>
    <w:rsid w:val="00C72D1D"/>
    <w:rsid w:val="00C72F05"/>
    <w:rsid w:val="00C736ED"/>
    <w:rsid w:val="00C73ACC"/>
    <w:rsid w:val="00C746A6"/>
    <w:rsid w:val="00C74A60"/>
    <w:rsid w:val="00C76192"/>
    <w:rsid w:val="00C767CF"/>
    <w:rsid w:val="00C81AEA"/>
    <w:rsid w:val="00C81E52"/>
    <w:rsid w:val="00C822B6"/>
    <w:rsid w:val="00C82E5A"/>
    <w:rsid w:val="00C83B9E"/>
    <w:rsid w:val="00C83EDF"/>
    <w:rsid w:val="00C84FB1"/>
    <w:rsid w:val="00C8540E"/>
    <w:rsid w:val="00C863BC"/>
    <w:rsid w:val="00C90D85"/>
    <w:rsid w:val="00C914EC"/>
    <w:rsid w:val="00C92632"/>
    <w:rsid w:val="00C927C9"/>
    <w:rsid w:val="00C9289D"/>
    <w:rsid w:val="00C92ED6"/>
    <w:rsid w:val="00C9327C"/>
    <w:rsid w:val="00C933E7"/>
    <w:rsid w:val="00C934AB"/>
    <w:rsid w:val="00C94EF9"/>
    <w:rsid w:val="00C96746"/>
    <w:rsid w:val="00C97BE5"/>
    <w:rsid w:val="00CA018B"/>
    <w:rsid w:val="00CA1FED"/>
    <w:rsid w:val="00CA28D2"/>
    <w:rsid w:val="00CA2C0D"/>
    <w:rsid w:val="00CA64A2"/>
    <w:rsid w:val="00CA69CD"/>
    <w:rsid w:val="00CA6DD5"/>
    <w:rsid w:val="00CA7C3C"/>
    <w:rsid w:val="00CB004B"/>
    <w:rsid w:val="00CB102C"/>
    <w:rsid w:val="00CB36C5"/>
    <w:rsid w:val="00CB52F7"/>
    <w:rsid w:val="00CB6986"/>
    <w:rsid w:val="00CC086A"/>
    <w:rsid w:val="00CC260F"/>
    <w:rsid w:val="00CC53F9"/>
    <w:rsid w:val="00CC5B7D"/>
    <w:rsid w:val="00CC5C3A"/>
    <w:rsid w:val="00CC703C"/>
    <w:rsid w:val="00CC7586"/>
    <w:rsid w:val="00CD0194"/>
    <w:rsid w:val="00CD15FA"/>
    <w:rsid w:val="00CD1990"/>
    <w:rsid w:val="00CD359C"/>
    <w:rsid w:val="00CD4FA1"/>
    <w:rsid w:val="00CD6C2D"/>
    <w:rsid w:val="00CE0F03"/>
    <w:rsid w:val="00CE0F70"/>
    <w:rsid w:val="00CE113D"/>
    <w:rsid w:val="00CE37D2"/>
    <w:rsid w:val="00CE385A"/>
    <w:rsid w:val="00CE3B9B"/>
    <w:rsid w:val="00CE42B9"/>
    <w:rsid w:val="00CE45DA"/>
    <w:rsid w:val="00CE5651"/>
    <w:rsid w:val="00CE7A5E"/>
    <w:rsid w:val="00CE7AC0"/>
    <w:rsid w:val="00CF0333"/>
    <w:rsid w:val="00CF2A28"/>
    <w:rsid w:val="00CF364A"/>
    <w:rsid w:val="00CF553A"/>
    <w:rsid w:val="00CF598A"/>
    <w:rsid w:val="00CF5A1C"/>
    <w:rsid w:val="00CF789C"/>
    <w:rsid w:val="00D00F2A"/>
    <w:rsid w:val="00D02010"/>
    <w:rsid w:val="00D02119"/>
    <w:rsid w:val="00D02276"/>
    <w:rsid w:val="00D024F7"/>
    <w:rsid w:val="00D0386B"/>
    <w:rsid w:val="00D04B2F"/>
    <w:rsid w:val="00D06711"/>
    <w:rsid w:val="00D06857"/>
    <w:rsid w:val="00D07E6F"/>
    <w:rsid w:val="00D11446"/>
    <w:rsid w:val="00D11650"/>
    <w:rsid w:val="00D11B41"/>
    <w:rsid w:val="00D11EA9"/>
    <w:rsid w:val="00D1216B"/>
    <w:rsid w:val="00D12493"/>
    <w:rsid w:val="00D14FFC"/>
    <w:rsid w:val="00D2097F"/>
    <w:rsid w:val="00D216A6"/>
    <w:rsid w:val="00D21CFF"/>
    <w:rsid w:val="00D22344"/>
    <w:rsid w:val="00D225D5"/>
    <w:rsid w:val="00D26950"/>
    <w:rsid w:val="00D316A7"/>
    <w:rsid w:val="00D318C6"/>
    <w:rsid w:val="00D31BBF"/>
    <w:rsid w:val="00D32506"/>
    <w:rsid w:val="00D32854"/>
    <w:rsid w:val="00D341CE"/>
    <w:rsid w:val="00D408D6"/>
    <w:rsid w:val="00D412D2"/>
    <w:rsid w:val="00D41958"/>
    <w:rsid w:val="00D4394B"/>
    <w:rsid w:val="00D46EFA"/>
    <w:rsid w:val="00D476B7"/>
    <w:rsid w:val="00D47B7A"/>
    <w:rsid w:val="00D50AC7"/>
    <w:rsid w:val="00D5192C"/>
    <w:rsid w:val="00D519AD"/>
    <w:rsid w:val="00D51E08"/>
    <w:rsid w:val="00D521F3"/>
    <w:rsid w:val="00D5393F"/>
    <w:rsid w:val="00D5529C"/>
    <w:rsid w:val="00D55A6C"/>
    <w:rsid w:val="00D569F9"/>
    <w:rsid w:val="00D56FED"/>
    <w:rsid w:val="00D573E9"/>
    <w:rsid w:val="00D577FA"/>
    <w:rsid w:val="00D61A94"/>
    <w:rsid w:val="00D61B99"/>
    <w:rsid w:val="00D62147"/>
    <w:rsid w:val="00D63267"/>
    <w:rsid w:val="00D638E4"/>
    <w:rsid w:val="00D63B91"/>
    <w:rsid w:val="00D64136"/>
    <w:rsid w:val="00D65065"/>
    <w:rsid w:val="00D6759C"/>
    <w:rsid w:val="00D7006A"/>
    <w:rsid w:val="00D705D9"/>
    <w:rsid w:val="00D7078A"/>
    <w:rsid w:val="00D710CD"/>
    <w:rsid w:val="00D710F5"/>
    <w:rsid w:val="00D71B67"/>
    <w:rsid w:val="00D737B8"/>
    <w:rsid w:val="00D75CE4"/>
    <w:rsid w:val="00D76089"/>
    <w:rsid w:val="00D765EA"/>
    <w:rsid w:val="00D810D7"/>
    <w:rsid w:val="00D8137B"/>
    <w:rsid w:val="00D81B67"/>
    <w:rsid w:val="00D835F0"/>
    <w:rsid w:val="00D8552A"/>
    <w:rsid w:val="00D85D11"/>
    <w:rsid w:val="00D86C09"/>
    <w:rsid w:val="00D8765D"/>
    <w:rsid w:val="00D8787E"/>
    <w:rsid w:val="00D9015B"/>
    <w:rsid w:val="00D90B40"/>
    <w:rsid w:val="00D91F5A"/>
    <w:rsid w:val="00D92110"/>
    <w:rsid w:val="00D92242"/>
    <w:rsid w:val="00D92434"/>
    <w:rsid w:val="00D933BC"/>
    <w:rsid w:val="00D95581"/>
    <w:rsid w:val="00D960D1"/>
    <w:rsid w:val="00D96135"/>
    <w:rsid w:val="00D97AB2"/>
    <w:rsid w:val="00D97ACF"/>
    <w:rsid w:val="00D97C16"/>
    <w:rsid w:val="00DA031B"/>
    <w:rsid w:val="00DA1C38"/>
    <w:rsid w:val="00DA2227"/>
    <w:rsid w:val="00DA2403"/>
    <w:rsid w:val="00DA3B64"/>
    <w:rsid w:val="00DA4D9A"/>
    <w:rsid w:val="00DA549F"/>
    <w:rsid w:val="00DA58DD"/>
    <w:rsid w:val="00DA673D"/>
    <w:rsid w:val="00DA6EAE"/>
    <w:rsid w:val="00DA70C3"/>
    <w:rsid w:val="00DA7BCF"/>
    <w:rsid w:val="00DB0280"/>
    <w:rsid w:val="00DB0DAE"/>
    <w:rsid w:val="00DB1267"/>
    <w:rsid w:val="00DB14F0"/>
    <w:rsid w:val="00DB2A91"/>
    <w:rsid w:val="00DB32C6"/>
    <w:rsid w:val="00DB3FDA"/>
    <w:rsid w:val="00DB4845"/>
    <w:rsid w:val="00DB51DC"/>
    <w:rsid w:val="00DB6978"/>
    <w:rsid w:val="00DC3E6D"/>
    <w:rsid w:val="00DC48F8"/>
    <w:rsid w:val="00DC6212"/>
    <w:rsid w:val="00DC62DF"/>
    <w:rsid w:val="00DC7C22"/>
    <w:rsid w:val="00DD0AFC"/>
    <w:rsid w:val="00DD0C9D"/>
    <w:rsid w:val="00DD0CDE"/>
    <w:rsid w:val="00DD1450"/>
    <w:rsid w:val="00DD19DA"/>
    <w:rsid w:val="00DD3336"/>
    <w:rsid w:val="00DD3907"/>
    <w:rsid w:val="00DD399D"/>
    <w:rsid w:val="00DD491A"/>
    <w:rsid w:val="00DD6421"/>
    <w:rsid w:val="00DD7FBE"/>
    <w:rsid w:val="00DE0CA8"/>
    <w:rsid w:val="00DE24B5"/>
    <w:rsid w:val="00DE5A47"/>
    <w:rsid w:val="00DE62B1"/>
    <w:rsid w:val="00DE6AD0"/>
    <w:rsid w:val="00DE6E77"/>
    <w:rsid w:val="00DE6FD1"/>
    <w:rsid w:val="00DE74DC"/>
    <w:rsid w:val="00DF0A6A"/>
    <w:rsid w:val="00DF1498"/>
    <w:rsid w:val="00DF2020"/>
    <w:rsid w:val="00DF28A5"/>
    <w:rsid w:val="00DF3CFE"/>
    <w:rsid w:val="00DF4700"/>
    <w:rsid w:val="00DF4942"/>
    <w:rsid w:val="00DF5EF4"/>
    <w:rsid w:val="00DF77E4"/>
    <w:rsid w:val="00E01687"/>
    <w:rsid w:val="00E02188"/>
    <w:rsid w:val="00E03CBD"/>
    <w:rsid w:val="00E03F3B"/>
    <w:rsid w:val="00E04362"/>
    <w:rsid w:val="00E10503"/>
    <w:rsid w:val="00E10876"/>
    <w:rsid w:val="00E11C5D"/>
    <w:rsid w:val="00E120C4"/>
    <w:rsid w:val="00E12E90"/>
    <w:rsid w:val="00E13CA1"/>
    <w:rsid w:val="00E13D2D"/>
    <w:rsid w:val="00E13D5E"/>
    <w:rsid w:val="00E141F2"/>
    <w:rsid w:val="00E14B66"/>
    <w:rsid w:val="00E1573E"/>
    <w:rsid w:val="00E20480"/>
    <w:rsid w:val="00E20659"/>
    <w:rsid w:val="00E2088B"/>
    <w:rsid w:val="00E20BB7"/>
    <w:rsid w:val="00E20E03"/>
    <w:rsid w:val="00E21535"/>
    <w:rsid w:val="00E2240E"/>
    <w:rsid w:val="00E22E93"/>
    <w:rsid w:val="00E2501A"/>
    <w:rsid w:val="00E265D7"/>
    <w:rsid w:val="00E26AC7"/>
    <w:rsid w:val="00E300AE"/>
    <w:rsid w:val="00E314F0"/>
    <w:rsid w:val="00E32094"/>
    <w:rsid w:val="00E34AFD"/>
    <w:rsid w:val="00E359A7"/>
    <w:rsid w:val="00E3693F"/>
    <w:rsid w:val="00E37867"/>
    <w:rsid w:val="00E40835"/>
    <w:rsid w:val="00E41538"/>
    <w:rsid w:val="00E4179B"/>
    <w:rsid w:val="00E41A5A"/>
    <w:rsid w:val="00E46404"/>
    <w:rsid w:val="00E46851"/>
    <w:rsid w:val="00E50369"/>
    <w:rsid w:val="00E5037B"/>
    <w:rsid w:val="00E5042D"/>
    <w:rsid w:val="00E51F2F"/>
    <w:rsid w:val="00E52B7A"/>
    <w:rsid w:val="00E52C05"/>
    <w:rsid w:val="00E53365"/>
    <w:rsid w:val="00E5491D"/>
    <w:rsid w:val="00E55925"/>
    <w:rsid w:val="00E564C1"/>
    <w:rsid w:val="00E565EA"/>
    <w:rsid w:val="00E567E8"/>
    <w:rsid w:val="00E57D4E"/>
    <w:rsid w:val="00E614DA"/>
    <w:rsid w:val="00E616AA"/>
    <w:rsid w:val="00E6196B"/>
    <w:rsid w:val="00E61FEA"/>
    <w:rsid w:val="00E62106"/>
    <w:rsid w:val="00E62764"/>
    <w:rsid w:val="00E6298D"/>
    <w:rsid w:val="00E62A1D"/>
    <w:rsid w:val="00E6312C"/>
    <w:rsid w:val="00E64277"/>
    <w:rsid w:val="00E64C1A"/>
    <w:rsid w:val="00E653DD"/>
    <w:rsid w:val="00E65C55"/>
    <w:rsid w:val="00E662AA"/>
    <w:rsid w:val="00E70A3B"/>
    <w:rsid w:val="00E71945"/>
    <w:rsid w:val="00E71AAA"/>
    <w:rsid w:val="00E72214"/>
    <w:rsid w:val="00E7234F"/>
    <w:rsid w:val="00E72D2B"/>
    <w:rsid w:val="00E72D61"/>
    <w:rsid w:val="00E7311E"/>
    <w:rsid w:val="00E731C2"/>
    <w:rsid w:val="00E737C0"/>
    <w:rsid w:val="00E73FEE"/>
    <w:rsid w:val="00E7593A"/>
    <w:rsid w:val="00E772FE"/>
    <w:rsid w:val="00E814D1"/>
    <w:rsid w:val="00E81FF1"/>
    <w:rsid w:val="00E82385"/>
    <w:rsid w:val="00E82989"/>
    <w:rsid w:val="00E839B9"/>
    <w:rsid w:val="00E8692D"/>
    <w:rsid w:val="00E87300"/>
    <w:rsid w:val="00E87EF2"/>
    <w:rsid w:val="00E90A93"/>
    <w:rsid w:val="00E90B66"/>
    <w:rsid w:val="00E911C5"/>
    <w:rsid w:val="00E93832"/>
    <w:rsid w:val="00E95942"/>
    <w:rsid w:val="00E95E67"/>
    <w:rsid w:val="00E96775"/>
    <w:rsid w:val="00E96B19"/>
    <w:rsid w:val="00E96BE2"/>
    <w:rsid w:val="00EA0341"/>
    <w:rsid w:val="00EA05E5"/>
    <w:rsid w:val="00EA2B1D"/>
    <w:rsid w:val="00EA3120"/>
    <w:rsid w:val="00EA3BC0"/>
    <w:rsid w:val="00EA3D1B"/>
    <w:rsid w:val="00EA44A9"/>
    <w:rsid w:val="00EA44E0"/>
    <w:rsid w:val="00EA49CD"/>
    <w:rsid w:val="00EA4A23"/>
    <w:rsid w:val="00EA5C69"/>
    <w:rsid w:val="00EA747E"/>
    <w:rsid w:val="00EB1B6E"/>
    <w:rsid w:val="00EB29BF"/>
    <w:rsid w:val="00EB2C18"/>
    <w:rsid w:val="00EB5885"/>
    <w:rsid w:val="00EB6442"/>
    <w:rsid w:val="00EB7C12"/>
    <w:rsid w:val="00EC032E"/>
    <w:rsid w:val="00EC06BD"/>
    <w:rsid w:val="00EC124D"/>
    <w:rsid w:val="00EC145C"/>
    <w:rsid w:val="00EC1985"/>
    <w:rsid w:val="00EC44DD"/>
    <w:rsid w:val="00EC5BCC"/>
    <w:rsid w:val="00EC62AD"/>
    <w:rsid w:val="00EC6E32"/>
    <w:rsid w:val="00EC7617"/>
    <w:rsid w:val="00ED09EF"/>
    <w:rsid w:val="00ED1830"/>
    <w:rsid w:val="00ED27F3"/>
    <w:rsid w:val="00ED2DFB"/>
    <w:rsid w:val="00ED3DCB"/>
    <w:rsid w:val="00ED41EA"/>
    <w:rsid w:val="00ED4261"/>
    <w:rsid w:val="00ED513C"/>
    <w:rsid w:val="00ED637F"/>
    <w:rsid w:val="00ED66A1"/>
    <w:rsid w:val="00ED7448"/>
    <w:rsid w:val="00ED7664"/>
    <w:rsid w:val="00EE1F6C"/>
    <w:rsid w:val="00EE280A"/>
    <w:rsid w:val="00EE3303"/>
    <w:rsid w:val="00EE3514"/>
    <w:rsid w:val="00EE388D"/>
    <w:rsid w:val="00EE4D3E"/>
    <w:rsid w:val="00EE5153"/>
    <w:rsid w:val="00EE59C4"/>
    <w:rsid w:val="00EE5C57"/>
    <w:rsid w:val="00EE5DBD"/>
    <w:rsid w:val="00EF1837"/>
    <w:rsid w:val="00EF1EAE"/>
    <w:rsid w:val="00EF331B"/>
    <w:rsid w:val="00EF3DA0"/>
    <w:rsid w:val="00EF4751"/>
    <w:rsid w:val="00EF48EE"/>
    <w:rsid w:val="00EF511E"/>
    <w:rsid w:val="00EF56C6"/>
    <w:rsid w:val="00EF5F36"/>
    <w:rsid w:val="00EF71C1"/>
    <w:rsid w:val="00EF7817"/>
    <w:rsid w:val="00EF7DAA"/>
    <w:rsid w:val="00F00158"/>
    <w:rsid w:val="00F00748"/>
    <w:rsid w:val="00F022E0"/>
    <w:rsid w:val="00F034CB"/>
    <w:rsid w:val="00F041F1"/>
    <w:rsid w:val="00F046CE"/>
    <w:rsid w:val="00F04E4E"/>
    <w:rsid w:val="00F04FDE"/>
    <w:rsid w:val="00F052F0"/>
    <w:rsid w:val="00F0561B"/>
    <w:rsid w:val="00F062E7"/>
    <w:rsid w:val="00F07135"/>
    <w:rsid w:val="00F076DD"/>
    <w:rsid w:val="00F104CE"/>
    <w:rsid w:val="00F10750"/>
    <w:rsid w:val="00F10CA3"/>
    <w:rsid w:val="00F10DAD"/>
    <w:rsid w:val="00F110C4"/>
    <w:rsid w:val="00F115C2"/>
    <w:rsid w:val="00F12602"/>
    <w:rsid w:val="00F12F38"/>
    <w:rsid w:val="00F135C3"/>
    <w:rsid w:val="00F13946"/>
    <w:rsid w:val="00F14F84"/>
    <w:rsid w:val="00F1788F"/>
    <w:rsid w:val="00F20044"/>
    <w:rsid w:val="00F20BCD"/>
    <w:rsid w:val="00F213A9"/>
    <w:rsid w:val="00F219D1"/>
    <w:rsid w:val="00F24819"/>
    <w:rsid w:val="00F24AA9"/>
    <w:rsid w:val="00F251A0"/>
    <w:rsid w:val="00F2671C"/>
    <w:rsid w:val="00F274D6"/>
    <w:rsid w:val="00F306FF"/>
    <w:rsid w:val="00F30941"/>
    <w:rsid w:val="00F312E1"/>
    <w:rsid w:val="00F3415D"/>
    <w:rsid w:val="00F34354"/>
    <w:rsid w:val="00F3509D"/>
    <w:rsid w:val="00F35AE3"/>
    <w:rsid w:val="00F36197"/>
    <w:rsid w:val="00F402E8"/>
    <w:rsid w:val="00F40AF3"/>
    <w:rsid w:val="00F411F6"/>
    <w:rsid w:val="00F507D2"/>
    <w:rsid w:val="00F5086D"/>
    <w:rsid w:val="00F51109"/>
    <w:rsid w:val="00F52070"/>
    <w:rsid w:val="00F52377"/>
    <w:rsid w:val="00F54047"/>
    <w:rsid w:val="00F54063"/>
    <w:rsid w:val="00F5489B"/>
    <w:rsid w:val="00F54CB1"/>
    <w:rsid w:val="00F557A8"/>
    <w:rsid w:val="00F55B86"/>
    <w:rsid w:val="00F57CF8"/>
    <w:rsid w:val="00F606E0"/>
    <w:rsid w:val="00F607FD"/>
    <w:rsid w:val="00F60CA2"/>
    <w:rsid w:val="00F61EF9"/>
    <w:rsid w:val="00F63C36"/>
    <w:rsid w:val="00F64666"/>
    <w:rsid w:val="00F67196"/>
    <w:rsid w:val="00F706E3"/>
    <w:rsid w:val="00F71732"/>
    <w:rsid w:val="00F71CD9"/>
    <w:rsid w:val="00F76D66"/>
    <w:rsid w:val="00F770AE"/>
    <w:rsid w:val="00F77DA0"/>
    <w:rsid w:val="00F805B7"/>
    <w:rsid w:val="00F817E1"/>
    <w:rsid w:val="00F82F28"/>
    <w:rsid w:val="00F847DF"/>
    <w:rsid w:val="00F84F63"/>
    <w:rsid w:val="00F85060"/>
    <w:rsid w:val="00F8642A"/>
    <w:rsid w:val="00F866DE"/>
    <w:rsid w:val="00F90651"/>
    <w:rsid w:val="00F90B14"/>
    <w:rsid w:val="00F91937"/>
    <w:rsid w:val="00F91977"/>
    <w:rsid w:val="00F92051"/>
    <w:rsid w:val="00F92634"/>
    <w:rsid w:val="00F92648"/>
    <w:rsid w:val="00F92DC2"/>
    <w:rsid w:val="00F939ED"/>
    <w:rsid w:val="00F93A96"/>
    <w:rsid w:val="00F93ABE"/>
    <w:rsid w:val="00F9452D"/>
    <w:rsid w:val="00F94681"/>
    <w:rsid w:val="00FA349C"/>
    <w:rsid w:val="00FA5695"/>
    <w:rsid w:val="00FA768A"/>
    <w:rsid w:val="00FA7E9F"/>
    <w:rsid w:val="00FB04B3"/>
    <w:rsid w:val="00FB16FF"/>
    <w:rsid w:val="00FB1FD3"/>
    <w:rsid w:val="00FB227A"/>
    <w:rsid w:val="00FB64FD"/>
    <w:rsid w:val="00FB6726"/>
    <w:rsid w:val="00FC0677"/>
    <w:rsid w:val="00FC1313"/>
    <w:rsid w:val="00FC135C"/>
    <w:rsid w:val="00FC1527"/>
    <w:rsid w:val="00FC18E7"/>
    <w:rsid w:val="00FC1EC4"/>
    <w:rsid w:val="00FC35A6"/>
    <w:rsid w:val="00FC36C7"/>
    <w:rsid w:val="00FC5517"/>
    <w:rsid w:val="00FC6661"/>
    <w:rsid w:val="00FC737A"/>
    <w:rsid w:val="00FC7D5A"/>
    <w:rsid w:val="00FD0563"/>
    <w:rsid w:val="00FD27A6"/>
    <w:rsid w:val="00FD3E21"/>
    <w:rsid w:val="00FD407D"/>
    <w:rsid w:val="00FD422C"/>
    <w:rsid w:val="00FD43D3"/>
    <w:rsid w:val="00FD447B"/>
    <w:rsid w:val="00FD605D"/>
    <w:rsid w:val="00FD6149"/>
    <w:rsid w:val="00FD6517"/>
    <w:rsid w:val="00FD7B02"/>
    <w:rsid w:val="00FD7BE6"/>
    <w:rsid w:val="00FE3419"/>
    <w:rsid w:val="00FE37F0"/>
    <w:rsid w:val="00FE4CDD"/>
    <w:rsid w:val="00FE6905"/>
    <w:rsid w:val="00FE71FA"/>
    <w:rsid w:val="00FF0328"/>
    <w:rsid w:val="00FF28B7"/>
    <w:rsid w:val="00FF2946"/>
    <w:rsid w:val="00FF29F0"/>
    <w:rsid w:val="00FF373F"/>
    <w:rsid w:val="00FF3A58"/>
    <w:rsid w:val="00FF3EA6"/>
    <w:rsid w:val="00FF3FCE"/>
    <w:rsid w:val="00FF4135"/>
    <w:rsid w:val="00FF68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BA7F"/>
  <w15:docId w15:val="{2F7A7B41-70BA-4BBD-A750-AC50ABB4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5F"/>
    <w:rPr>
      <w:rFonts w:ascii="Calibri" w:eastAsia="Calibri" w:hAnsi="Calibri" w:cs="Arial"/>
      <w:lang w:val="fr-FR"/>
    </w:rPr>
  </w:style>
  <w:style w:type="paragraph" w:styleId="Titre1">
    <w:name w:val="heading 1"/>
    <w:basedOn w:val="Normal"/>
    <w:next w:val="Normal"/>
    <w:link w:val="Titre1Car"/>
    <w:uiPriority w:val="9"/>
    <w:qFormat/>
    <w:rsid w:val="0011735F"/>
    <w:pPr>
      <w:keepNext/>
      <w:bidi/>
      <w:spacing w:before="240" w:after="60"/>
      <w:outlineLvl w:val="0"/>
    </w:pPr>
    <w:rPr>
      <w:rFonts w:ascii="Cambria" w:eastAsia="Times New Roman" w:hAnsi="Cambria" w:cs="Times New Roman"/>
      <w:b/>
      <w:bCs/>
      <w:kern w:val="32"/>
      <w:sz w:val="32"/>
      <w:szCs w:val="32"/>
      <w:lang w:val="en-US" w:eastAsia="ja-JP"/>
    </w:rPr>
  </w:style>
  <w:style w:type="paragraph" w:styleId="Titre2">
    <w:name w:val="heading 2"/>
    <w:basedOn w:val="Normal"/>
    <w:next w:val="Normal"/>
    <w:link w:val="Titre2Car"/>
    <w:uiPriority w:val="9"/>
    <w:qFormat/>
    <w:rsid w:val="0011735F"/>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semiHidden/>
    <w:unhideWhenUsed/>
    <w:qFormat/>
    <w:rsid w:val="00B41D6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qFormat/>
    <w:rsid w:val="008C45E7"/>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72721A"/>
    <w:pPr>
      <w:keepNext/>
      <w:keepLines/>
      <w:spacing w:before="200"/>
      <w:ind w:left="0" w:firstLine="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35F"/>
    <w:rPr>
      <w:rFonts w:ascii="Cambria" w:eastAsia="Times New Roman" w:hAnsi="Cambria" w:cs="Times New Roman"/>
      <w:b/>
      <w:bCs/>
      <w:kern w:val="32"/>
      <w:sz w:val="32"/>
      <w:szCs w:val="32"/>
      <w:lang w:eastAsia="ja-JP"/>
    </w:rPr>
  </w:style>
  <w:style w:type="character" w:customStyle="1" w:styleId="Titre2Car">
    <w:name w:val="Titre 2 Car"/>
    <w:basedOn w:val="Policepardfaut"/>
    <w:link w:val="Titre2"/>
    <w:uiPriority w:val="9"/>
    <w:rsid w:val="0011735F"/>
    <w:rPr>
      <w:rFonts w:ascii="Cambria" w:eastAsia="Times New Roman" w:hAnsi="Cambria" w:cs="Times New Roman"/>
      <w:b/>
      <w:bCs/>
      <w:i/>
      <w:iCs/>
      <w:sz w:val="28"/>
      <w:szCs w:val="28"/>
      <w:lang w:val="fr-FR"/>
    </w:rPr>
  </w:style>
  <w:style w:type="paragraph" w:styleId="Sansinterligne">
    <w:name w:val="No Spacing"/>
    <w:link w:val="SansinterligneCar"/>
    <w:uiPriority w:val="1"/>
    <w:qFormat/>
    <w:rsid w:val="0011735F"/>
    <w:rPr>
      <w:rFonts w:ascii="Calibri" w:eastAsia="Calibri" w:hAnsi="Calibri" w:cs="Arial"/>
      <w:lang w:val="fr-FR"/>
    </w:rPr>
  </w:style>
  <w:style w:type="character" w:customStyle="1" w:styleId="SansinterligneCar">
    <w:name w:val="Sans interligne Car"/>
    <w:basedOn w:val="Policepardfaut"/>
    <w:link w:val="Sansinterligne"/>
    <w:uiPriority w:val="1"/>
    <w:rsid w:val="0011735F"/>
    <w:rPr>
      <w:rFonts w:ascii="Calibri" w:eastAsia="Calibri" w:hAnsi="Calibri" w:cs="Arial"/>
      <w:lang w:val="fr-FR"/>
    </w:rPr>
  </w:style>
  <w:style w:type="paragraph" w:styleId="Paragraphedeliste">
    <w:name w:val="List Paragraph"/>
    <w:aliases w:val="List Paragraph (bulleted list),Bullet 1 List,List Paragraph1,Colorful List - Accent 11,Project Profile name,Colorful List - Accent 12,Bullets,Unordered List,List Paragraph 2,Table/Figure Heading,En tête 1,Recommendation,Bullet list"/>
    <w:basedOn w:val="Normal"/>
    <w:link w:val="ParagraphedelisteCar"/>
    <w:uiPriority w:val="34"/>
    <w:qFormat/>
    <w:rsid w:val="0011735F"/>
    <w:pPr>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95F07"/>
    <w:pPr>
      <w:tabs>
        <w:tab w:val="center" w:pos="4703"/>
        <w:tab w:val="right" w:pos="9406"/>
      </w:tabs>
    </w:pPr>
  </w:style>
  <w:style w:type="character" w:customStyle="1" w:styleId="En-tteCar">
    <w:name w:val="En-tête Car"/>
    <w:basedOn w:val="Policepardfaut"/>
    <w:link w:val="En-tte"/>
    <w:uiPriority w:val="99"/>
    <w:rsid w:val="00195F07"/>
    <w:rPr>
      <w:rFonts w:ascii="Calibri" w:eastAsia="Calibri" w:hAnsi="Calibri" w:cs="Arial"/>
      <w:lang w:val="fr-FR"/>
    </w:rPr>
  </w:style>
  <w:style w:type="paragraph" w:styleId="Pieddepage">
    <w:name w:val="footer"/>
    <w:basedOn w:val="Normal"/>
    <w:link w:val="PieddepageCar"/>
    <w:uiPriority w:val="99"/>
    <w:unhideWhenUsed/>
    <w:rsid w:val="00195F07"/>
    <w:pPr>
      <w:tabs>
        <w:tab w:val="center" w:pos="4703"/>
        <w:tab w:val="right" w:pos="9406"/>
      </w:tabs>
    </w:pPr>
  </w:style>
  <w:style w:type="character" w:customStyle="1" w:styleId="PieddepageCar">
    <w:name w:val="Pied de page Car"/>
    <w:basedOn w:val="Policepardfaut"/>
    <w:link w:val="Pieddepage"/>
    <w:uiPriority w:val="99"/>
    <w:rsid w:val="00195F07"/>
    <w:rPr>
      <w:rFonts w:ascii="Calibri" w:eastAsia="Calibri" w:hAnsi="Calibri" w:cs="Arial"/>
      <w:lang w:val="fr-FR"/>
    </w:rPr>
  </w:style>
  <w:style w:type="paragraph" w:styleId="Textedebulles">
    <w:name w:val="Balloon Text"/>
    <w:basedOn w:val="Normal"/>
    <w:link w:val="TextedebullesCar"/>
    <w:uiPriority w:val="99"/>
    <w:semiHidden/>
    <w:unhideWhenUsed/>
    <w:rsid w:val="00195F07"/>
    <w:rPr>
      <w:rFonts w:ascii="Tahoma" w:hAnsi="Tahoma" w:cs="Tahoma"/>
      <w:sz w:val="16"/>
      <w:szCs w:val="16"/>
    </w:rPr>
  </w:style>
  <w:style w:type="character" w:customStyle="1" w:styleId="TextedebullesCar">
    <w:name w:val="Texte de bulles Car"/>
    <w:basedOn w:val="Policepardfaut"/>
    <w:link w:val="Textedebulles"/>
    <w:uiPriority w:val="99"/>
    <w:semiHidden/>
    <w:rsid w:val="00195F07"/>
    <w:rPr>
      <w:rFonts w:ascii="Tahoma" w:eastAsia="Calibri" w:hAnsi="Tahoma" w:cs="Tahoma"/>
      <w:sz w:val="16"/>
      <w:szCs w:val="16"/>
      <w:lang w:val="fr-FR"/>
    </w:rPr>
  </w:style>
  <w:style w:type="character" w:customStyle="1" w:styleId="hps">
    <w:name w:val="hps"/>
    <w:basedOn w:val="Policepardfaut"/>
    <w:rsid w:val="004D4F87"/>
  </w:style>
  <w:style w:type="character" w:styleId="Lienhypertexte">
    <w:name w:val="Hyperlink"/>
    <w:basedOn w:val="Policepardfaut"/>
    <w:uiPriority w:val="99"/>
    <w:unhideWhenUsed/>
    <w:rsid w:val="003C68D5"/>
    <w:rPr>
      <w:color w:val="0000FF"/>
      <w:u w:val="single"/>
    </w:rPr>
  </w:style>
  <w:style w:type="character" w:customStyle="1" w:styleId="bb">
    <w:name w:val="bb"/>
    <w:basedOn w:val="Policepardfaut"/>
    <w:rsid w:val="003C68D5"/>
  </w:style>
  <w:style w:type="paragraph" w:customStyle="1" w:styleId="outdent">
    <w:name w:val="outdent"/>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i">
    <w:name w:val="bi"/>
    <w:basedOn w:val="Policepardfaut"/>
    <w:rsid w:val="003C68D5"/>
  </w:style>
  <w:style w:type="paragraph" w:customStyle="1" w:styleId="tablecaption">
    <w:name w:val="tablecaption"/>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ablefooter">
    <w:name w:val="tablefooter"/>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C68D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Caption1">
    <w:name w:val="Caption1"/>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boxtext">
    <w:name w:val="boxtext"/>
    <w:basedOn w:val="Normal"/>
    <w:rsid w:val="003C68D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8C45E7"/>
    <w:rPr>
      <w:rFonts w:ascii="Calibri" w:eastAsia="Times New Roman" w:hAnsi="Calibri" w:cs="Arial"/>
      <w:b/>
      <w:bCs/>
      <w:sz w:val="28"/>
      <w:szCs w:val="28"/>
      <w:lang w:val="fr-FR"/>
    </w:rPr>
  </w:style>
  <w:style w:type="paragraph" w:styleId="Corpsdetexte">
    <w:name w:val="Body Text"/>
    <w:basedOn w:val="Normal"/>
    <w:next w:val="Normal"/>
    <w:link w:val="CorpsdetexteCar"/>
    <w:uiPriority w:val="99"/>
    <w:rsid w:val="00067CE2"/>
    <w:pPr>
      <w:autoSpaceDE w:val="0"/>
      <w:autoSpaceDN w:val="0"/>
      <w:adjustRightInd w:val="0"/>
    </w:pPr>
    <w:rPr>
      <w:rFonts w:ascii="BCAEHB+TimesNewRoman" w:eastAsiaTheme="minorHAnsi" w:hAnsi="BCAEHB+TimesNewRoman" w:cstheme="minorBidi"/>
      <w:sz w:val="24"/>
      <w:szCs w:val="24"/>
    </w:rPr>
  </w:style>
  <w:style w:type="character" w:customStyle="1" w:styleId="CorpsdetexteCar">
    <w:name w:val="Corps de texte Car"/>
    <w:basedOn w:val="Policepardfaut"/>
    <w:link w:val="Corpsdetexte"/>
    <w:uiPriority w:val="99"/>
    <w:rsid w:val="00067CE2"/>
    <w:rPr>
      <w:rFonts w:ascii="BCAEHB+TimesNewRoman" w:hAnsi="BCAEHB+TimesNewRoman"/>
      <w:sz w:val="24"/>
      <w:szCs w:val="24"/>
      <w:lang w:val="fr-FR"/>
    </w:rPr>
  </w:style>
  <w:style w:type="character" w:styleId="lev">
    <w:name w:val="Strong"/>
    <w:basedOn w:val="Policepardfaut"/>
    <w:uiPriority w:val="22"/>
    <w:qFormat/>
    <w:rsid w:val="00487BD4"/>
    <w:rPr>
      <w:b/>
      <w:bCs/>
    </w:rPr>
  </w:style>
  <w:style w:type="table" w:styleId="Listeclaire-Accent5">
    <w:name w:val="Light List Accent 5"/>
    <w:basedOn w:val="TableauNormal"/>
    <w:uiPriority w:val="61"/>
    <w:rsid w:val="00A53D9F"/>
    <w:rPr>
      <w:lang w:val="fr-F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shorttext">
    <w:name w:val="short_text"/>
    <w:basedOn w:val="Policepardfaut"/>
    <w:rsid w:val="00E73FEE"/>
  </w:style>
  <w:style w:type="paragraph" w:customStyle="1" w:styleId="Default">
    <w:name w:val="Default"/>
    <w:rsid w:val="009E3ADF"/>
    <w:pPr>
      <w:autoSpaceDE w:val="0"/>
      <w:autoSpaceDN w:val="0"/>
      <w:adjustRightInd w:val="0"/>
    </w:pPr>
    <w:rPr>
      <w:rFonts w:ascii="Wingdings" w:hAnsi="Wingdings" w:cs="Wingdings"/>
      <w:color w:val="000000"/>
      <w:sz w:val="24"/>
      <w:szCs w:val="24"/>
      <w:lang w:val="fr-FR"/>
    </w:rPr>
  </w:style>
  <w:style w:type="paragraph" w:styleId="Liste">
    <w:name w:val="List"/>
    <w:basedOn w:val="Default"/>
    <w:next w:val="Default"/>
    <w:uiPriority w:val="99"/>
    <w:rsid w:val="009E3ADF"/>
    <w:rPr>
      <w:rFonts w:cstheme="minorBidi"/>
      <w:color w:val="auto"/>
    </w:rPr>
  </w:style>
  <w:style w:type="character" w:customStyle="1" w:styleId="Titre3Car">
    <w:name w:val="Titre 3 Car"/>
    <w:basedOn w:val="Policepardfaut"/>
    <w:link w:val="Titre3"/>
    <w:uiPriority w:val="9"/>
    <w:semiHidden/>
    <w:rsid w:val="00B41D61"/>
    <w:rPr>
      <w:rFonts w:asciiTheme="majorHAnsi" w:eastAsiaTheme="majorEastAsia" w:hAnsiTheme="majorHAnsi" w:cstheme="majorBidi"/>
      <w:b/>
      <w:bCs/>
      <w:color w:val="4F81BD" w:themeColor="accent1"/>
      <w:lang w:val="fr-FR"/>
    </w:rPr>
  </w:style>
  <w:style w:type="table" w:styleId="Grilledutableau">
    <w:name w:val="Table Grid"/>
    <w:basedOn w:val="TableauNormal"/>
    <w:uiPriority w:val="59"/>
    <w:rsid w:val="00A94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72721A"/>
    <w:rPr>
      <w:rFonts w:asciiTheme="majorHAnsi" w:eastAsiaTheme="majorEastAsia" w:hAnsiTheme="majorHAnsi" w:cstheme="majorBidi"/>
      <w:color w:val="243F60" w:themeColor="accent1" w:themeShade="7F"/>
      <w:lang w:val="fr-FR"/>
    </w:rPr>
  </w:style>
  <w:style w:type="paragraph" w:styleId="TM1">
    <w:name w:val="toc 1"/>
    <w:basedOn w:val="Normal"/>
    <w:next w:val="Normal"/>
    <w:autoRedefine/>
    <w:uiPriority w:val="39"/>
    <w:rsid w:val="005F16EF"/>
    <w:pPr>
      <w:tabs>
        <w:tab w:val="left" w:pos="0"/>
        <w:tab w:val="left" w:pos="960"/>
      </w:tabs>
      <w:spacing w:before="0"/>
      <w:ind w:left="66" w:firstLine="0"/>
    </w:pPr>
    <w:rPr>
      <w:rFonts w:asciiTheme="minorHAnsi" w:eastAsiaTheme="minorHAnsi" w:hAnsiTheme="minorHAnsi" w:cstheme="minorHAnsi"/>
      <w:bCs/>
      <w:noProof/>
      <w:sz w:val="24"/>
      <w:szCs w:val="24"/>
      <w:lang w:val="fr-BE" w:eastAsia="fr-FR"/>
    </w:rPr>
  </w:style>
  <w:style w:type="table" w:customStyle="1" w:styleId="Tramemoyenne2-Accent11">
    <w:name w:val="Trame moyenne 2 - Accent 11"/>
    <w:basedOn w:val="TableauNormal"/>
    <w:uiPriority w:val="64"/>
    <w:rsid w:val="0072721A"/>
    <w:pPr>
      <w:spacing w:before="0"/>
      <w:ind w:left="0" w:firstLin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ccentuation">
    <w:name w:val="Emphasis"/>
    <w:basedOn w:val="Policepardfaut"/>
    <w:uiPriority w:val="20"/>
    <w:qFormat/>
    <w:rsid w:val="0072721A"/>
    <w:rPr>
      <w:i/>
      <w:iCs/>
    </w:rPr>
  </w:style>
  <w:style w:type="character" w:styleId="Marquedecommentaire">
    <w:name w:val="annotation reference"/>
    <w:basedOn w:val="Policepardfaut"/>
    <w:uiPriority w:val="99"/>
    <w:semiHidden/>
    <w:unhideWhenUsed/>
    <w:rsid w:val="000E4AA0"/>
    <w:rPr>
      <w:sz w:val="16"/>
      <w:szCs w:val="16"/>
    </w:rPr>
  </w:style>
  <w:style w:type="paragraph" w:styleId="Commentaire">
    <w:name w:val="annotation text"/>
    <w:basedOn w:val="Normal"/>
    <w:link w:val="CommentaireCar"/>
    <w:uiPriority w:val="99"/>
    <w:semiHidden/>
    <w:unhideWhenUsed/>
    <w:rsid w:val="000E4AA0"/>
    <w:rPr>
      <w:sz w:val="20"/>
      <w:szCs w:val="20"/>
    </w:rPr>
  </w:style>
  <w:style w:type="character" w:customStyle="1" w:styleId="CommentaireCar">
    <w:name w:val="Commentaire Car"/>
    <w:basedOn w:val="Policepardfaut"/>
    <w:link w:val="Commentaire"/>
    <w:uiPriority w:val="99"/>
    <w:semiHidden/>
    <w:rsid w:val="000E4AA0"/>
    <w:rPr>
      <w:rFonts w:ascii="Calibri" w:eastAsia="Calibri" w:hAnsi="Calibri" w:cs="Arial"/>
      <w:sz w:val="20"/>
      <w:szCs w:val="20"/>
      <w:lang w:val="fr-FR"/>
    </w:rPr>
  </w:style>
  <w:style w:type="paragraph" w:styleId="Objetducommentaire">
    <w:name w:val="annotation subject"/>
    <w:basedOn w:val="Commentaire"/>
    <w:next w:val="Commentaire"/>
    <w:link w:val="ObjetducommentaireCar"/>
    <w:uiPriority w:val="99"/>
    <w:semiHidden/>
    <w:unhideWhenUsed/>
    <w:rsid w:val="000E4AA0"/>
    <w:rPr>
      <w:b/>
      <w:bCs/>
    </w:rPr>
  </w:style>
  <w:style w:type="character" w:customStyle="1" w:styleId="ObjetducommentaireCar">
    <w:name w:val="Objet du commentaire Car"/>
    <w:basedOn w:val="CommentaireCar"/>
    <w:link w:val="Objetducommentaire"/>
    <w:uiPriority w:val="99"/>
    <w:semiHidden/>
    <w:rsid w:val="000E4AA0"/>
    <w:rPr>
      <w:rFonts w:ascii="Calibri" w:eastAsia="Calibri" w:hAnsi="Calibri" w:cs="Arial"/>
      <w:b/>
      <w:bCs/>
      <w:sz w:val="20"/>
      <w:szCs w:val="20"/>
      <w:lang w:val="fr-FR"/>
    </w:rPr>
  </w:style>
  <w:style w:type="paragraph" w:customStyle="1" w:styleId="yiv1238635553msonormal">
    <w:name w:val="yiv1238635553msonormal"/>
    <w:basedOn w:val="Normal"/>
    <w:rsid w:val="007E44B2"/>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paragraph" w:customStyle="1" w:styleId="yiv1238635553msolistparagraph">
    <w:name w:val="yiv1238635553msolistparagraph"/>
    <w:basedOn w:val="Normal"/>
    <w:rsid w:val="007E44B2"/>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E20E03"/>
  </w:style>
  <w:style w:type="character" w:customStyle="1" w:styleId="ParagraphedelisteCar">
    <w:name w:val="Paragraphe de liste Car"/>
    <w:aliases w:val="List Paragraph (bulleted list) Car,Bullet 1 List Car,List Paragraph1 Car,Colorful List - Accent 11 Car,Project Profile name Car,Colorful List - Accent 12 Car,Bullets Car,Unordered List Car,List Paragraph 2 Car,En tête 1 Car"/>
    <w:link w:val="Paragraphedeliste"/>
    <w:uiPriority w:val="34"/>
    <w:qFormat/>
    <w:locked/>
    <w:rsid w:val="00485459"/>
    <w:rPr>
      <w:rFonts w:ascii="Times New Roman" w:eastAsia="Times New Roman" w:hAnsi="Times New Roman" w:cs="Times New Roman"/>
      <w:sz w:val="24"/>
      <w:szCs w:val="24"/>
      <w:lang w:val="fr-FR" w:eastAsia="fr-FR"/>
    </w:rPr>
  </w:style>
  <w:style w:type="paragraph" w:styleId="Lgende">
    <w:name w:val="caption"/>
    <w:basedOn w:val="Normal"/>
    <w:next w:val="Normal"/>
    <w:uiPriority w:val="35"/>
    <w:unhideWhenUsed/>
    <w:qFormat/>
    <w:rsid w:val="003A6649"/>
    <w:pPr>
      <w:spacing w:before="0" w:after="200"/>
      <w:ind w:left="0" w:firstLine="0"/>
      <w:jc w:val="left"/>
    </w:pPr>
    <w:rPr>
      <w:b/>
      <w:bCs/>
      <w:color w:val="4F81BD" w:themeColor="accent1"/>
      <w:sz w:val="18"/>
      <w:szCs w:val="18"/>
    </w:rPr>
  </w:style>
  <w:style w:type="paragraph" w:styleId="En-ttedetabledesmatires">
    <w:name w:val="TOC Heading"/>
    <w:basedOn w:val="Titre1"/>
    <w:next w:val="Normal"/>
    <w:uiPriority w:val="39"/>
    <w:unhideWhenUsed/>
    <w:qFormat/>
    <w:rsid w:val="00712EFE"/>
    <w:pPr>
      <w:keepLines/>
      <w:bidi w:val="0"/>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lang w:val="fr-FR" w:eastAsia="fr-FR"/>
    </w:rPr>
  </w:style>
  <w:style w:type="paragraph" w:styleId="TM2">
    <w:name w:val="toc 2"/>
    <w:basedOn w:val="Normal"/>
    <w:next w:val="Normal"/>
    <w:autoRedefine/>
    <w:uiPriority w:val="39"/>
    <w:unhideWhenUsed/>
    <w:rsid w:val="00D81B67"/>
    <w:pPr>
      <w:tabs>
        <w:tab w:val="right" w:leader="dot" w:pos="10338"/>
      </w:tabs>
      <w:spacing w:after="100"/>
      <w:ind w:left="423"/>
    </w:pPr>
  </w:style>
  <w:style w:type="paragraph" w:styleId="Listenumros">
    <w:name w:val="List Number"/>
    <w:basedOn w:val="Normal"/>
    <w:uiPriority w:val="99"/>
    <w:semiHidden/>
    <w:unhideWhenUsed/>
    <w:rsid w:val="00B305CF"/>
    <w:pPr>
      <w:numPr>
        <w:numId w:val="3"/>
      </w:numPr>
      <w:contextualSpacing/>
    </w:p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 Char Char1"/>
    <w:basedOn w:val="Normal"/>
    <w:link w:val="NotedebasdepageCar1"/>
    <w:uiPriority w:val="99"/>
    <w:qFormat/>
    <w:rsid w:val="00B305CF"/>
    <w:pPr>
      <w:spacing w:before="0"/>
      <w:ind w:left="0" w:firstLine="0"/>
      <w:jc w:val="left"/>
    </w:pPr>
    <w:rPr>
      <w:rFonts w:ascii="Times New Roman" w:eastAsia="Times New Roman" w:hAnsi="Times New Roman" w:cs="Times New Roman"/>
      <w:sz w:val="20"/>
      <w:szCs w:val="20"/>
    </w:rPr>
  </w:style>
  <w:style w:type="character" w:customStyle="1" w:styleId="NotedebasdepageCar">
    <w:name w:val="Note de bas de page Car"/>
    <w:basedOn w:val="Policepardfaut"/>
    <w:uiPriority w:val="99"/>
    <w:semiHidden/>
    <w:rsid w:val="00B305CF"/>
    <w:rPr>
      <w:rFonts w:ascii="Calibri" w:eastAsia="Calibri" w:hAnsi="Calibri" w:cs="Arial"/>
      <w:sz w:val="20"/>
      <w:szCs w:val="20"/>
      <w:lang w:val="fr-FR"/>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Ref Char Car Char Car Char Char,fr"/>
    <w:uiPriority w:val="99"/>
    <w:qFormat/>
    <w:rsid w:val="00B305CF"/>
    <w:rPr>
      <w:vertAlign w:val="superscript"/>
    </w:rPr>
  </w:style>
  <w:style w:type="character" w:customStyle="1" w:styleId="NotedebasdepageCar1">
    <w:name w:val="Note de bas de page Car1"/>
    <w:aliases w:val="Footnote Car,Footnote Text Char1 Char Car,Footnote Text Char Char Char Car,Footnote Text Char1 Char Char Char Car,Footnote Text Char Char Char Char Char Car,Footnote Text Char1 Char1 Char Car,single space Car,fn Car"/>
    <w:link w:val="Notedebasdepage"/>
    <w:uiPriority w:val="99"/>
    <w:rsid w:val="00B305CF"/>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7789">
      <w:bodyDiv w:val="1"/>
      <w:marLeft w:val="0"/>
      <w:marRight w:val="0"/>
      <w:marTop w:val="0"/>
      <w:marBottom w:val="0"/>
      <w:divBdr>
        <w:top w:val="none" w:sz="0" w:space="0" w:color="auto"/>
        <w:left w:val="none" w:sz="0" w:space="0" w:color="auto"/>
        <w:bottom w:val="none" w:sz="0" w:space="0" w:color="auto"/>
        <w:right w:val="none" w:sz="0" w:space="0" w:color="auto"/>
      </w:divBdr>
    </w:div>
    <w:div w:id="61761159">
      <w:bodyDiv w:val="1"/>
      <w:marLeft w:val="0"/>
      <w:marRight w:val="0"/>
      <w:marTop w:val="0"/>
      <w:marBottom w:val="0"/>
      <w:divBdr>
        <w:top w:val="none" w:sz="0" w:space="0" w:color="auto"/>
        <w:left w:val="none" w:sz="0" w:space="0" w:color="auto"/>
        <w:bottom w:val="none" w:sz="0" w:space="0" w:color="auto"/>
        <w:right w:val="none" w:sz="0" w:space="0" w:color="auto"/>
      </w:divBdr>
    </w:div>
    <w:div w:id="175078629">
      <w:bodyDiv w:val="1"/>
      <w:marLeft w:val="0"/>
      <w:marRight w:val="0"/>
      <w:marTop w:val="0"/>
      <w:marBottom w:val="0"/>
      <w:divBdr>
        <w:top w:val="none" w:sz="0" w:space="0" w:color="auto"/>
        <w:left w:val="none" w:sz="0" w:space="0" w:color="auto"/>
        <w:bottom w:val="none" w:sz="0" w:space="0" w:color="auto"/>
        <w:right w:val="none" w:sz="0" w:space="0" w:color="auto"/>
      </w:divBdr>
      <w:divsChild>
        <w:div w:id="1723753846">
          <w:marLeft w:val="0"/>
          <w:marRight w:val="0"/>
          <w:marTop w:val="0"/>
          <w:marBottom w:val="0"/>
          <w:divBdr>
            <w:top w:val="none" w:sz="0" w:space="0" w:color="auto"/>
            <w:left w:val="none" w:sz="0" w:space="0" w:color="auto"/>
            <w:bottom w:val="none" w:sz="0" w:space="0" w:color="auto"/>
            <w:right w:val="none" w:sz="0" w:space="0" w:color="auto"/>
          </w:divBdr>
          <w:divsChild>
            <w:div w:id="12681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5195">
      <w:bodyDiv w:val="1"/>
      <w:marLeft w:val="0"/>
      <w:marRight w:val="0"/>
      <w:marTop w:val="0"/>
      <w:marBottom w:val="0"/>
      <w:divBdr>
        <w:top w:val="none" w:sz="0" w:space="0" w:color="auto"/>
        <w:left w:val="none" w:sz="0" w:space="0" w:color="auto"/>
        <w:bottom w:val="none" w:sz="0" w:space="0" w:color="auto"/>
        <w:right w:val="none" w:sz="0" w:space="0" w:color="auto"/>
      </w:divBdr>
    </w:div>
    <w:div w:id="310909164">
      <w:bodyDiv w:val="1"/>
      <w:marLeft w:val="0"/>
      <w:marRight w:val="0"/>
      <w:marTop w:val="0"/>
      <w:marBottom w:val="0"/>
      <w:divBdr>
        <w:top w:val="none" w:sz="0" w:space="0" w:color="auto"/>
        <w:left w:val="none" w:sz="0" w:space="0" w:color="auto"/>
        <w:bottom w:val="none" w:sz="0" w:space="0" w:color="auto"/>
        <w:right w:val="none" w:sz="0" w:space="0" w:color="auto"/>
      </w:divBdr>
    </w:div>
    <w:div w:id="372660589">
      <w:bodyDiv w:val="1"/>
      <w:marLeft w:val="0"/>
      <w:marRight w:val="0"/>
      <w:marTop w:val="0"/>
      <w:marBottom w:val="0"/>
      <w:divBdr>
        <w:top w:val="none" w:sz="0" w:space="0" w:color="auto"/>
        <w:left w:val="none" w:sz="0" w:space="0" w:color="auto"/>
        <w:bottom w:val="none" w:sz="0" w:space="0" w:color="auto"/>
        <w:right w:val="none" w:sz="0" w:space="0" w:color="auto"/>
      </w:divBdr>
    </w:div>
    <w:div w:id="374308723">
      <w:bodyDiv w:val="1"/>
      <w:marLeft w:val="0"/>
      <w:marRight w:val="0"/>
      <w:marTop w:val="0"/>
      <w:marBottom w:val="0"/>
      <w:divBdr>
        <w:top w:val="none" w:sz="0" w:space="0" w:color="auto"/>
        <w:left w:val="none" w:sz="0" w:space="0" w:color="auto"/>
        <w:bottom w:val="none" w:sz="0" w:space="0" w:color="auto"/>
        <w:right w:val="none" w:sz="0" w:space="0" w:color="auto"/>
      </w:divBdr>
    </w:div>
    <w:div w:id="558983661">
      <w:bodyDiv w:val="1"/>
      <w:marLeft w:val="0"/>
      <w:marRight w:val="0"/>
      <w:marTop w:val="0"/>
      <w:marBottom w:val="0"/>
      <w:divBdr>
        <w:top w:val="none" w:sz="0" w:space="0" w:color="auto"/>
        <w:left w:val="none" w:sz="0" w:space="0" w:color="auto"/>
        <w:bottom w:val="none" w:sz="0" w:space="0" w:color="auto"/>
        <w:right w:val="none" w:sz="0" w:space="0" w:color="auto"/>
      </w:divBdr>
    </w:div>
    <w:div w:id="621572718">
      <w:bodyDiv w:val="1"/>
      <w:marLeft w:val="0"/>
      <w:marRight w:val="0"/>
      <w:marTop w:val="0"/>
      <w:marBottom w:val="0"/>
      <w:divBdr>
        <w:top w:val="none" w:sz="0" w:space="0" w:color="auto"/>
        <w:left w:val="none" w:sz="0" w:space="0" w:color="auto"/>
        <w:bottom w:val="none" w:sz="0" w:space="0" w:color="auto"/>
        <w:right w:val="none" w:sz="0" w:space="0" w:color="auto"/>
      </w:divBdr>
    </w:div>
    <w:div w:id="725109542">
      <w:bodyDiv w:val="1"/>
      <w:marLeft w:val="0"/>
      <w:marRight w:val="0"/>
      <w:marTop w:val="0"/>
      <w:marBottom w:val="0"/>
      <w:divBdr>
        <w:top w:val="none" w:sz="0" w:space="0" w:color="auto"/>
        <w:left w:val="none" w:sz="0" w:space="0" w:color="auto"/>
        <w:bottom w:val="none" w:sz="0" w:space="0" w:color="auto"/>
        <w:right w:val="none" w:sz="0" w:space="0" w:color="auto"/>
      </w:divBdr>
      <w:divsChild>
        <w:div w:id="69273333">
          <w:marLeft w:val="0"/>
          <w:marRight w:val="0"/>
          <w:marTop w:val="0"/>
          <w:marBottom w:val="0"/>
          <w:divBdr>
            <w:top w:val="none" w:sz="0" w:space="0" w:color="auto"/>
            <w:left w:val="none" w:sz="0" w:space="0" w:color="auto"/>
            <w:bottom w:val="none" w:sz="0" w:space="0" w:color="auto"/>
            <w:right w:val="none" w:sz="0" w:space="0" w:color="auto"/>
          </w:divBdr>
        </w:div>
        <w:div w:id="80494716">
          <w:marLeft w:val="0"/>
          <w:marRight w:val="0"/>
          <w:marTop w:val="0"/>
          <w:marBottom w:val="0"/>
          <w:divBdr>
            <w:top w:val="none" w:sz="0" w:space="0" w:color="auto"/>
            <w:left w:val="none" w:sz="0" w:space="0" w:color="auto"/>
            <w:bottom w:val="none" w:sz="0" w:space="0" w:color="auto"/>
            <w:right w:val="none" w:sz="0" w:space="0" w:color="auto"/>
          </w:divBdr>
        </w:div>
        <w:div w:id="536043708">
          <w:marLeft w:val="0"/>
          <w:marRight w:val="0"/>
          <w:marTop w:val="0"/>
          <w:marBottom w:val="0"/>
          <w:divBdr>
            <w:top w:val="none" w:sz="0" w:space="0" w:color="auto"/>
            <w:left w:val="none" w:sz="0" w:space="0" w:color="auto"/>
            <w:bottom w:val="none" w:sz="0" w:space="0" w:color="auto"/>
            <w:right w:val="none" w:sz="0" w:space="0" w:color="auto"/>
          </w:divBdr>
        </w:div>
        <w:div w:id="576282881">
          <w:marLeft w:val="0"/>
          <w:marRight w:val="0"/>
          <w:marTop w:val="0"/>
          <w:marBottom w:val="0"/>
          <w:divBdr>
            <w:top w:val="none" w:sz="0" w:space="0" w:color="auto"/>
            <w:left w:val="none" w:sz="0" w:space="0" w:color="auto"/>
            <w:bottom w:val="none" w:sz="0" w:space="0" w:color="auto"/>
            <w:right w:val="none" w:sz="0" w:space="0" w:color="auto"/>
          </w:divBdr>
        </w:div>
        <w:div w:id="812990715">
          <w:marLeft w:val="0"/>
          <w:marRight w:val="0"/>
          <w:marTop w:val="0"/>
          <w:marBottom w:val="0"/>
          <w:divBdr>
            <w:top w:val="none" w:sz="0" w:space="0" w:color="auto"/>
            <w:left w:val="none" w:sz="0" w:space="0" w:color="auto"/>
            <w:bottom w:val="none" w:sz="0" w:space="0" w:color="auto"/>
            <w:right w:val="none" w:sz="0" w:space="0" w:color="auto"/>
          </w:divBdr>
        </w:div>
        <w:div w:id="844516742">
          <w:marLeft w:val="0"/>
          <w:marRight w:val="0"/>
          <w:marTop w:val="0"/>
          <w:marBottom w:val="0"/>
          <w:divBdr>
            <w:top w:val="none" w:sz="0" w:space="0" w:color="auto"/>
            <w:left w:val="none" w:sz="0" w:space="0" w:color="auto"/>
            <w:bottom w:val="none" w:sz="0" w:space="0" w:color="auto"/>
            <w:right w:val="none" w:sz="0" w:space="0" w:color="auto"/>
          </w:divBdr>
        </w:div>
        <w:div w:id="1688679072">
          <w:marLeft w:val="0"/>
          <w:marRight w:val="0"/>
          <w:marTop w:val="0"/>
          <w:marBottom w:val="0"/>
          <w:divBdr>
            <w:top w:val="none" w:sz="0" w:space="0" w:color="auto"/>
            <w:left w:val="none" w:sz="0" w:space="0" w:color="auto"/>
            <w:bottom w:val="none" w:sz="0" w:space="0" w:color="auto"/>
            <w:right w:val="none" w:sz="0" w:space="0" w:color="auto"/>
          </w:divBdr>
        </w:div>
        <w:div w:id="1833794476">
          <w:marLeft w:val="0"/>
          <w:marRight w:val="0"/>
          <w:marTop w:val="0"/>
          <w:marBottom w:val="0"/>
          <w:divBdr>
            <w:top w:val="none" w:sz="0" w:space="0" w:color="auto"/>
            <w:left w:val="none" w:sz="0" w:space="0" w:color="auto"/>
            <w:bottom w:val="none" w:sz="0" w:space="0" w:color="auto"/>
            <w:right w:val="none" w:sz="0" w:space="0" w:color="auto"/>
          </w:divBdr>
        </w:div>
        <w:div w:id="2128502243">
          <w:marLeft w:val="0"/>
          <w:marRight w:val="0"/>
          <w:marTop w:val="0"/>
          <w:marBottom w:val="0"/>
          <w:divBdr>
            <w:top w:val="none" w:sz="0" w:space="0" w:color="auto"/>
            <w:left w:val="none" w:sz="0" w:space="0" w:color="auto"/>
            <w:bottom w:val="none" w:sz="0" w:space="0" w:color="auto"/>
            <w:right w:val="none" w:sz="0" w:space="0" w:color="auto"/>
          </w:divBdr>
        </w:div>
      </w:divsChild>
    </w:div>
    <w:div w:id="725449611">
      <w:bodyDiv w:val="1"/>
      <w:marLeft w:val="0"/>
      <w:marRight w:val="0"/>
      <w:marTop w:val="0"/>
      <w:marBottom w:val="0"/>
      <w:divBdr>
        <w:top w:val="none" w:sz="0" w:space="0" w:color="auto"/>
        <w:left w:val="none" w:sz="0" w:space="0" w:color="auto"/>
        <w:bottom w:val="none" w:sz="0" w:space="0" w:color="auto"/>
        <w:right w:val="none" w:sz="0" w:space="0" w:color="auto"/>
      </w:divBdr>
      <w:divsChild>
        <w:div w:id="1783962383">
          <w:marLeft w:val="547"/>
          <w:marRight w:val="0"/>
          <w:marTop w:val="0"/>
          <w:marBottom w:val="0"/>
          <w:divBdr>
            <w:top w:val="none" w:sz="0" w:space="0" w:color="auto"/>
            <w:left w:val="none" w:sz="0" w:space="0" w:color="auto"/>
            <w:bottom w:val="none" w:sz="0" w:space="0" w:color="auto"/>
            <w:right w:val="none" w:sz="0" w:space="0" w:color="auto"/>
          </w:divBdr>
        </w:div>
      </w:divsChild>
    </w:div>
    <w:div w:id="782921586">
      <w:bodyDiv w:val="1"/>
      <w:marLeft w:val="0"/>
      <w:marRight w:val="0"/>
      <w:marTop w:val="0"/>
      <w:marBottom w:val="0"/>
      <w:divBdr>
        <w:top w:val="none" w:sz="0" w:space="0" w:color="auto"/>
        <w:left w:val="none" w:sz="0" w:space="0" w:color="auto"/>
        <w:bottom w:val="none" w:sz="0" w:space="0" w:color="auto"/>
        <w:right w:val="none" w:sz="0" w:space="0" w:color="auto"/>
      </w:divBdr>
    </w:div>
    <w:div w:id="816382327">
      <w:bodyDiv w:val="1"/>
      <w:marLeft w:val="0"/>
      <w:marRight w:val="0"/>
      <w:marTop w:val="0"/>
      <w:marBottom w:val="0"/>
      <w:divBdr>
        <w:top w:val="none" w:sz="0" w:space="0" w:color="auto"/>
        <w:left w:val="none" w:sz="0" w:space="0" w:color="auto"/>
        <w:bottom w:val="none" w:sz="0" w:space="0" w:color="auto"/>
        <w:right w:val="none" w:sz="0" w:space="0" w:color="auto"/>
      </w:divBdr>
    </w:div>
    <w:div w:id="884607464">
      <w:bodyDiv w:val="1"/>
      <w:marLeft w:val="0"/>
      <w:marRight w:val="0"/>
      <w:marTop w:val="0"/>
      <w:marBottom w:val="0"/>
      <w:divBdr>
        <w:top w:val="none" w:sz="0" w:space="0" w:color="auto"/>
        <w:left w:val="none" w:sz="0" w:space="0" w:color="auto"/>
        <w:bottom w:val="none" w:sz="0" w:space="0" w:color="auto"/>
        <w:right w:val="none" w:sz="0" w:space="0" w:color="auto"/>
      </w:divBdr>
      <w:divsChild>
        <w:div w:id="26565169">
          <w:marLeft w:val="547"/>
          <w:marRight w:val="0"/>
          <w:marTop w:val="0"/>
          <w:marBottom w:val="0"/>
          <w:divBdr>
            <w:top w:val="none" w:sz="0" w:space="0" w:color="auto"/>
            <w:left w:val="none" w:sz="0" w:space="0" w:color="auto"/>
            <w:bottom w:val="none" w:sz="0" w:space="0" w:color="auto"/>
            <w:right w:val="none" w:sz="0" w:space="0" w:color="auto"/>
          </w:divBdr>
        </w:div>
      </w:divsChild>
    </w:div>
    <w:div w:id="926499059">
      <w:bodyDiv w:val="1"/>
      <w:marLeft w:val="0"/>
      <w:marRight w:val="0"/>
      <w:marTop w:val="0"/>
      <w:marBottom w:val="0"/>
      <w:divBdr>
        <w:top w:val="none" w:sz="0" w:space="0" w:color="auto"/>
        <w:left w:val="none" w:sz="0" w:space="0" w:color="auto"/>
        <w:bottom w:val="none" w:sz="0" w:space="0" w:color="auto"/>
        <w:right w:val="none" w:sz="0" w:space="0" w:color="auto"/>
      </w:divBdr>
      <w:divsChild>
        <w:div w:id="1673029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484147">
      <w:bodyDiv w:val="1"/>
      <w:marLeft w:val="0"/>
      <w:marRight w:val="0"/>
      <w:marTop w:val="0"/>
      <w:marBottom w:val="0"/>
      <w:divBdr>
        <w:top w:val="none" w:sz="0" w:space="0" w:color="auto"/>
        <w:left w:val="none" w:sz="0" w:space="0" w:color="auto"/>
        <w:bottom w:val="none" w:sz="0" w:space="0" w:color="auto"/>
        <w:right w:val="none" w:sz="0" w:space="0" w:color="auto"/>
      </w:divBdr>
    </w:div>
    <w:div w:id="1137918101">
      <w:bodyDiv w:val="1"/>
      <w:marLeft w:val="0"/>
      <w:marRight w:val="0"/>
      <w:marTop w:val="0"/>
      <w:marBottom w:val="0"/>
      <w:divBdr>
        <w:top w:val="none" w:sz="0" w:space="0" w:color="auto"/>
        <w:left w:val="none" w:sz="0" w:space="0" w:color="auto"/>
        <w:bottom w:val="none" w:sz="0" w:space="0" w:color="auto"/>
        <w:right w:val="none" w:sz="0" w:space="0" w:color="auto"/>
      </w:divBdr>
    </w:div>
    <w:div w:id="1192499856">
      <w:bodyDiv w:val="1"/>
      <w:marLeft w:val="0"/>
      <w:marRight w:val="0"/>
      <w:marTop w:val="0"/>
      <w:marBottom w:val="0"/>
      <w:divBdr>
        <w:top w:val="none" w:sz="0" w:space="0" w:color="auto"/>
        <w:left w:val="none" w:sz="0" w:space="0" w:color="auto"/>
        <w:bottom w:val="none" w:sz="0" w:space="0" w:color="auto"/>
        <w:right w:val="none" w:sz="0" w:space="0" w:color="auto"/>
      </w:divBdr>
    </w:div>
    <w:div w:id="1193616899">
      <w:bodyDiv w:val="1"/>
      <w:marLeft w:val="0"/>
      <w:marRight w:val="0"/>
      <w:marTop w:val="0"/>
      <w:marBottom w:val="0"/>
      <w:divBdr>
        <w:top w:val="none" w:sz="0" w:space="0" w:color="auto"/>
        <w:left w:val="none" w:sz="0" w:space="0" w:color="auto"/>
        <w:bottom w:val="none" w:sz="0" w:space="0" w:color="auto"/>
        <w:right w:val="none" w:sz="0" w:space="0" w:color="auto"/>
      </w:divBdr>
      <w:divsChild>
        <w:div w:id="776370643">
          <w:marLeft w:val="0"/>
          <w:marRight w:val="0"/>
          <w:marTop w:val="0"/>
          <w:marBottom w:val="0"/>
          <w:divBdr>
            <w:top w:val="none" w:sz="0" w:space="0" w:color="auto"/>
            <w:left w:val="none" w:sz="0" w:space="0" w:color="auto"/>
            <w:bottom w:val="none" w:sz="0" w:space="0" w:color="auto"/>
            <w:right w:val="none" w:sz="0" w:space="0" w:color="auto"/>
          </w:divBdr>
          <w:divsChild>
            <w:div w:id="6629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9844">
      <w:bodyDiv w:val="1"/>
      <w:marLeft w:val="0"/>
      <w:marRight w:val="0"/>
      <w:marTop w:val="0"/>
      <w:marBottom w:val="0"/>
      <w:divBdr>
        <w:top w:val="none" w:sz="0" w:space="0" w:color="auto"/>
        <w:left w:val="none" w:sz="0" w:space="0" w:color="auto"/>
        <w:bottom w:val="none" w:sz="0" w:space="0" w:color="auto"/>
        <w:right w:val="none" w:sz="0" w:space="0" w:color="auto"/>
      </w:divBdr>
      <w:divsChild>
        <w:div w:id="1262034828">
          <w:marLeft w:val="0"/>
          <w:marRight w:val="0"/>
          <w:marTop w:val="0"/>
          <w:marBottom w:val="0"/>
          <w:divBdr>
            <w:top w:val="none" w:sz="0" w:space="0" w:color="auto"/>
            <w:left w:val="none" w:sz="0" w:space="0" w:color="auto"/>
            <w:bottom w:val="none" w:sz="0" w:space="0" w:color="auto"/>
            <w:right w:val="none" w:sz="0" w:space="0" w:color="auto"/>
          </w:divBdr>
          <w:divsChild>
            <w:div w:id="21103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52666">
      <w:bodyDiv w:val="1"/>
      <w:marLeft w:val="0"/>
      <w:marRight w:val="0"/>
      <w:marTop w:val="0"/>
      <w:marBottom w:val="0"/>
      <w:divBdr>
        <w:top w:val="none" w:sz="0" w:space="0" w:color="auto"/>
        <w:left w:val="none" w:sz="0" w:space="0" w:color="auto"/>
        <w:bottom w:val="none" w:sz="0" w:space="0" w:color="auto"/>
        <w:right w:val="none" w:sz="0" w:space="0" w:color="auto"/>
      </w:divBdr>
    </w:div>
    <w:div w:id="1255479376">
      <w:bodyDiv w:val="1"/>
      <w:marLeft w:val="0"/>
      <w:marRight w:val="0"/>
      <w:marTop w:val="0"/>
      <w:marBottom w:val="0"/>
      <w:divBdr>
        <w:top w:val="none" w:sz="0" w:space="0" w:color="auto"/>
        <w:left w:val="none" w:sz="0" w:space="0" w:color="auto"/>
        <w:bottom w:val="none" w:sz="0" w:space="0" w:color="auto"/>
        <w:right w:val="none" w:sz="0" w:space="0" w:color="auto"/>
      </w:divBdr>
    </w:div>
    <w:div w:id="1268193957">
      <w:bodyDiv w:val="1"/>
      <w:marLeft w:val="0"/>
      <w:marRight w:val="0"/>
      <w:marTop w:val="0"/>
      <w:marBottom w:val="0"/>
      <w:divBdr>
        <w:top w:val="none" w:sz="0" w:space="0" w:color="auto"/>
        <w:left w:val="none" w:sz="0" w:space="0" w:color="auto"/>
        <w:bottom w:val="none" w:sz="0" w:space="0" w:color="auto"/>
        <w:right w:val="none" w:sz="0" w:space="0" w:color="auto"/>
      </w:divBdr>
    </w:div>
    <w:div w:id="1280719754">
      <w:bodyDiv w:val="1"/>
      <w:marLeft w:val="0"/>
      <w:marRight w:val="0"/>
      <w:marTop w:val="0"/>
      <w:marBottom w:val="0"/>
      <w:divBdr>
        <w:top w:val="none" w:sz="0" w:space="0" w:color="auto"/>
        <w:left w:val="none" w:sz="0" w:space="0" w:color="auto"/>
        <w:bottom w:val="none" w:sz="0" w:space="0" w:color="auto"/>
        <w:right w:val="none" w:sz="0" w:space="0" w:color="auto"/>
      </w:divBdr>
    </w:div>
    <w:div w:id="1289387224">
      <w:bodyDiv w:val="1"/>
      <w:marLeft w:val="0"/>
      <w:marRight w:val="0"/>
      <w:marTop w:val="0"/>
      <w:marBottom w:val="0"/>
      <w:divBdr>
        <w:top w:val="none" w:sz="0" w:space="0" w:color="auto"/>
        <w:left w:val="none" w:sz="0" w:space="0" w:color="auto"/>
        <w:bottom w:val="none" w:sz="0" w:space="0" w:color="auto"/>
        <w:right w:val="none" w:sz="0" w:space="0" w:color="auto"/>
      </w:divBdr>
    </w:div>
    <w:div w:id="1314749308">
      <w:bodyDiv w:val="1"/>
      <w:marLeft w:val="0"/>
      <w:marRight w:val="0"/>
      <w:marTop w:val="0"/>
      <w:marBottom w:val="0"/>
      <w:divBdr>
        <w:top w:val="none" w:sz="0" w:space="0" w:color="auto"/>
        <w:left w:val="none" w:sz="0" w:space="0" w:color="auto"/>
        <w:bottom w:val="none" w:sz="0" w:space="0" w:color="auto"/>
        <w:right w:val="none" w:sz="0" w:space="0" w:color="auto"/>
      </w:divBdr>
      <w:divsChild>
        <w:div w:id="143350956">
          <w:marLeft w:val="0"/>
          <w:marRight w:val="0"/>
          <w:marTop w:val="0"/>
          <w:marBottom w:val="0"/>
          <w:divBdr>
            <w:top w:val="none" w:sz="0" w:space="0" w:color="auto"/>
            <w:left w:val="none" w:sz="0" w:space="0" w:color="auto"/>
            <w:bottom w:val="none" w:sz="0" w:space="0" w:color="auto"/>
            <w:right w:val="none" w:sz="0" w:space="0" w:color="auto"/>
          </w:divBdr>
        </w:div>
        <w:div w:id="807864277">
          <w:marLeft w:val="0"/>
          <w:marRight w:val="0"/>
          <w:marTop w:val="0"/>
          <w:marBottom w:val="0"/>
          <w:divBdr>
            <w:top w:val="none" w:sz="0" w:space="0" w:color="auto"/>
            <w:left w:val="none" w:sz="0" w:space="0" w:color="auto"/>
            <w:bottom w:val="none" w:sz="0" w:space="0" w:color="auto"/>
            <w:right w:val="none" w:sz="0" w:space="0" w:color="auto"/>
          </w:divBdr>
          <w:divsChild>
            <w:div w:id="1098407263">
              <w:marLeft w:val="0"/>
              <w:marRight w:val="0"/>
              <w:marTop w:val="0"/>
              <w:marBottom w:val="0"/>
              <w:divBdr>
                <w:top w:val="none" w:sz="0" w:space="0" w:color="auto"/>
                <w:left w:val="none" w:sz="0" w:space="0" w:color="auto"/>
                <w:bottom w:val="none" w:sz="0" w:space="0" w:color="auto"/>
                <w:right w:val="none" w:sz="0" w:space="0" w:color="auto"/>
              </w:divBdr>
              <w:divsChild>
                <w:div w:id="1880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111">
      <w:bodyDiv w:val="1"/>
      <w:marLeft w:val="0"/>
      <w:marRight w:val="0"/>
      <w:marTop w:val="0"/>
      <w:marBottom w:val="0"/>
      <w:divBdr>
        <w:top w:val="none" w:sz="0" w:space="0" w:color="auto"/>
        <w:left w:val="none" w:sz="0" w:space="0" w:color="auto"/>
        <w:bottom w:val="none" w:sz="0" w:space="0" w:color="auto"/>
        <w:right w:val="none" w:sz="0" w:space="0" w:color="auto"/>
      </w:divBdr>
    </w:div>
    <w:div w:id="1404062603">
      <w:bodyDiv w:val="1"/>
      <w:marLeft w:val="0"/>
      <w:marRight w:val="0"/>
      <w:marTop w:val="0"/>
      <w:marBottom w:val="0"/>
      <w:divBdr>
        <w:top w:val="none" w:sz="0" w:space="0" w:color="auto"/>
        <w:left w:val="none" w:sz="0" w:space="0" w:color="auto"/>
        <w:bottom w:val="none" w:sz="0" w:space="0" w:color="auto"/>
        <w:right w:val="none" w:sz="0" w:space="0" w:color="auto"/>
      </w:divBdr>
    </w:div>
    <w:div w:id="1476869451">
      <w:bodyDiv w:val="1"/>
      <w:marLeft w:val="0"/>
      <w:marRight w:val="0"/>
      <w:marTop w:val="0"/>
      <w:marBottom w:val="0"/>
      <w:divBdr>
        <w:top w:val="none" w:sz="0" w:space="0" w:color="auto"/>
        <w:left w:val="none" w:sz="0" w:space="0" w:color="auto"/>
        <w:bottom w:val="none" w:sz="0" w:space="0" w:color="auto"/>
        <w:right w:val="none" w:sz="0" w:space="0" w:color="auto"/>
      </w:divBdr>
    </w:div>
    <w:div w:id="1634168730">
      <w:bodyDiv w:val="1"/>
      <w:marLeft w:val="0"/>
      <w:marRight w:val="0"/>
      <w:marTop w:val="0"/>
      <w:marBottom w:val="0"/>
      <w:divBdr>
        <w:top w:val="none" w:sz="0" w:space="0" w:color="auto"/>
        <w:left w:val="none" w:sz="0" w:space="0" w:color="auto"/>
        <w:bottom w:val="none" w:sz="0" w:space="0" w:color="auto"/>
        <w:right w:val="none" w:sz="0" w:space="0" w:color="auto"/>
      </w:divBdr>
    </w:div>
    <w:div w:id="1635407409">
      <w:bodyDiv w:val="1"/>
      <w:marLeft w:val="0"/>
      <w:marRight w:val="0"/>
      <w:marTop w:val="0"/>
      <w:marBottom w:val="0"/>
      <w:divBdr>
        <w:top w:val="none" w:sz="0" w:space="0" w:color="auto"/>
        <w:left w:val="none" w:sz="0" w:space="0" w:color="auto"/>
        <w:bottom w:val="none" w:sz="0" w:space="0" w:color="auto"/>
        <w:right w:val="none" w:sz="0" w:space="0" w:color="auto"/>
      </w:divBdr>
    </w:div>
    <w:div w:id="1836023668">
      <w:bodyDiv w:val="1"/>
      <w:marLeft w:val="0"/>
      <w:marRight w:val="0"/>
      <w:marTop w:val="0"/>
      <w:marBottom w:val="0"/>
      <w:divBdr>
        <w:top w:val="none" w:sz="0" w:space="0" w:color="auto"/>
        <w:left w:val="none" w:sz="0" w:space="0" w:color="auto"/>
        <w:bottom w:val="none" w:sz="0" w:space="0" w:color="auto"/>
        <w:right w:val="none" w:sz="0" w:space="0" w:color="auto"/>
      </w:divBdr>
      <w:divsChild>
        <w:div w:id="231427654">
          <w:marLeft w:val="0"/>
          <w:marRight w:val="0"/>
          <w:marTop w:val="0"/>
          <w:marBottom w:val="0"/>
          <w:divBdr>
            <w:top w:val="none" w:sz="0" w:space="0" w:color="auto"/>
            <w:left w:val="none" w:sz="0" w:space="0" w:color="auto"/>
            <w:bottom w:val="none" w:sz="0" w:space="0" w:color="auto"/>
            <w:right w:val="none" w:sz="0" w:space="0" w:color="auto"/>
          </w:divBdr>
        </w:div>
        <w:div w:id="1632125089">
          <w:marLeft w:val="0"/>
          <w:marRight w:val="0"/>
          <w:marTop w:val="0"/>
          <w:marBottom w:val="0"/>
          <w:divBdr>
            <w:top w:val="none" w:sz="0" w:space="0" w:color="auto"/>
            <w:left w:val="none" w:sz="0" w:space="0" w:color="auto"/>
            <w:bottom w:val="none" w:sz="0" w:space="0" w:color="auto"/>
            <w:right w:val="none" w:sz="0" w:space="0" w:color="auto"/>
          </w:divBdr>
        </w:div>
      </w:divsChild>
    </w:div>
    <w:div w:id="1850633085">
      <w:bodyDiv w:val="1"/>
      <w:marLeft w:val="0"/>
      <w:marRight w:val="0"/>
      <w:marTop w:val="0"/>
      <w:marBottom w:val="0"/>
      <w:divBdr>
        <w:top w:val="none" w:sz="0" w:space="0" w:color="auto"/>
        <w:left w:val="none" w:sz="0" w:space="0" w:color="auto"/>
        <w:bottom w:val="none" w:sz="0" w:space="0" w:color="auto"/>
        <w:right w:val="none" w:sz="0" w:space="0" w:color="auto"/>
      </w:divBdr>
      <w:divsChild>
        <w:div w:id="1566649566">
          <w:marLeft w:val="547"/>
          <w:marRight w:val="0"/>
          <w:marTop w:val="0"/>
          <w:marBottom w:val="0"/>
          <w:divBdr>
            <w:top w:val="none" w:sz="0" w:space="0" w:color="auto"/>
            <w:left w:val="none" w:sz="0" w:space="0" w:color="auto"/>
            <w:bottom w:val="none" w:sz="0" w:space="0" w:color="auto"/>
            <w:right w:val="none" w:sz="0" w:space="0" w:color="auto"/>
          </w:divBdr>
        </w:div>
        <w:div w:id="712464753">
          <w:marLeft w:val="547"/>
          <w:marRight w:val="0"/>
          <w:marTop w:val="0"/>
          <w:marBottom w:val="0"/>
          <w:divBdr>
            <w:top w:val="none" w:sz="0" w:space="0" w:color="auto"/>
            <w:left w:val="none" w:sz="0" w:space="0" w:color="auto"/>
            <w:bottom w:val="none" w:sz="0" w:space="0" w:color="auto"/>
            <w:right w:val="none" w:sz="0" w:space="0" w:color="auto"/>
          </w:divBdr>
        </w:div>
        <w:div w:id="1320038205">
          <w:marLeft w:val="547"/>
          <w:marRight w:val="0"/>
          <w:marTop w:val="0"/>
          <w:marBottom w:val="0"/>
          <w:divBdr>
            <w:top w:val="none" w:sz="0" w:space="0" w:color="auto"/>
            <w:left w:val="none" w:sz="0" w:space="0" w:color="auto"/>
            <w:bottom w:val="none" w:sz="0" w:space="0" w:color="auto"/>
            <w:right w:val="none" w:sz="0" w:space="0" w:color="auto"/>
          </w:divBdr>
        </w:div>
        <w:div w:id="669526956">
          <w:marLeft w:val="547"/>
          <w:marRight w:val="0"/>
          <w:marTop w:val="0"/>
          <w:marBottom w:val="0"/>
          <w:divBdr>
            <w:top w:val="none" w:sz="0" w:space="0" w:color="auto"/>
            <w:left w:val="none" w:sz="0" w:space="0" w:color="auto"/>
            <w:bottom w:val="none" w:sz="0" w:space="0" w:color="auto"/>
            <w:right w:val="none" w:sz="0" w:space="0" w:color="auto"/>
          </w:divBdr>
        </w:div>
        <w:div w:id="990258447">
          <w:marLeft w:val="547"/>
          <w:marRight w:val="0"/>
          <w:marTop w:val="0"/>
          <w:marBottom w:val="0"/>
          <w:divBdr>
            <w:top w:val="none" w:sz="0" w:space="0" w:color="auto"/>
            <w:left w:val="none" w:sz="0" w:space="0" w:color="auto"/>
            <w:bottom w:val="none" w:sz="0" w:space="0" w:color="auto"/>
            <w:right w:val="none" w:sz="0" w:space="0" w:color="auto"/>
          </w:divBdr>
        </w:div>
        <w:div w:id="2067949286">
          <w:marLeft w:val="547"/>
          <w:marRight w:val="0"/>
          <w:marTop w:val="0"/>
          <w:marBottom w:val="0"/>
          <w:divBdr>
            <w:top w:val="none" w:sz="0" w:space="0" w:color="auto"/>
            <w:left w:val="none" w:sz="0" w:space="0" w:color="auto"/>
            <w:bottom w:val="none" w:sz="0" w:space="0" w:color="auto"/>
            <w:right w:val="none" w:sz="0" w:space="0" w:color="auto"/>
          </w:divBdr>
        </w:div>
        <w:div w:id="1942253018">
          <w:marLeft w:val="547"/>
          <w:marRight w:val="0"/>
          <w:marTop w:val="0"/>
          <w:marBottom w:val="0"/>
          <w:divBdr>
            <w:top w:val="none" w:sz="0" w:space="0" w:color="auto"/>
            <w:left w:val="none" w:sz="0" w:space="0" w:color="auto"/>
            <w:bottom w:val="none" w:sz="0" w:space="0" w:color="auto"/>
            <w:right w:val="none" w:sz="0" w:space="0" w:color="auto"/>
          </w:divBdr>
        </w:div>
        <w:div w:id="1657146120">
          <w:marLeft w:val="547"/>
          <w:marRight w:val="0"/>
          <w:marTop w:val="0"/>
          <w:marBottom w:val="0"/>
          <w:divBdr>
            <w:top w:val="none" w:sz="0" w:space="0" w:color="auto"/>
            <w:left w:val="none" w:sz="0" w:space="0" w:color="auto"/>
            <w:bottom w:val="none" w:sz="0" w:space="0" w:color="auto"/>
            <w:right w:val="none" w:sz="0" w:space="0" w:color="auto"/>
          </w:divBdr>
        </w:div>
        <w:div w:id="1248420390">
          <w:marLeft w:val="547"/>
          <w:marRight w:val="0"/>
          <w:marTop w:val="0"/>
          <w:marBottom w:val="0"/>
          <w:divBdr>
            <w:top w:val="none" w:sz="0" w:space="0" w:color="auto"/>
            <w:left w:val="none" w:sz="0" w:space="0" w:color="auto"/>
            <w:bottom w:val="none" w:sz="0" w:space="0" w:color="auto"/>
            <w:right w:val="none" w:sz="0" w:space="0" w:color="auto"/>
          </w:divBdr>
        </w:div>
        <w:div w:id="1189484074">
          <w:marLeft w:val="547"/>
          <w:marRight w:val="0"/>
          <w:marTop w:val="0"/>
          <w:marBottom w:val="0"/>
          <w:divBdr>
            <w:top w:val="none" w:sz="0" w:space="0" w:color="auto"/>
            <w:left w:val="none" w:sz="0" w:space="0" w:color="auto"/>
            <w:bottom w:val="none" w:sz="0" w:space="0" w:color="auto"/>
            <w:right w:val="none" w:sz="0" w:space="0" w:color="auto"/>
          </w:divBdr>
        </w:div>
        <w:div w:id="2076121537">
          <w:marLeft w:val="547"/>
          <w:marRight w:val="0"/>
          <w:marTop w:val="0"/>
          <w:marBottom w:val="0"/>
          <w:divBdr>
            <w:top w:val="none" w:sz="0" w:space="0" w:color="auto"/>
            <w:left w:val="none" w:sz="0" w:space="0" w:color="auto"/>
            <w:bottom w:val="none" w:sz="0" w:space="0" w:color="auto"/>
            <w:right w:val="none" w:sz="0" w:space="0" w:color="auto"/>
          </w:divBdr>
        </w:div>
        <w:div w:id="470288834">
          <w:marLeft w:val="547"/>
          <w:marRight w:val="0"/>
          <w:marTop w:val="0"/>
          <w:marBottom w:val="0"/>
          <w:divBdr>
            <w:top w:val="none" w:sz="0" w:space="0" w:color="auto"/>
            <w:left w:val="none" w:sz="0" w:space="0" w:color="auto"/>
            <w:bottom w:val="none" w:sz="0" w:space="0" w:color="auto"/>
            <w:right w:val="none" w:sz="0" w:space="0" w:color="auto"/>
          </w:divBdr>
        </w:div>
        <w:div w:id="964966316">
          <w:marLeft w:val="547"/>
          <w:marRight w:val="0"/>
          <w:marTop w:val="0"/>
          <w:marBottom w:val="0"/>
          <w:divBdr>
            <w:top w:val="none" w:sz="0" w:space="0" w:color="auto"/>
            <w:left w:val="none" w:sz="0" w:space="0" w:color="auto"/>
            <w:bottom w:val="none" w:sz="0" w:space="0" w:color="auto"/>
            <w:right w:val="none" w:sz="0" w:space="0" w:color="auto"/>
          </w:divBdr>
        </w:div>
        <w:div w:id="2047638347">
          <w:marLeft w:val="547"/>
          <w:marRight w:val="0"/>
          <w:marTop w:val="0"/>
          <w:marBottom w:val="0"/>
          <w:divBdr>
            <w:top w:val="none" w:sz="0" w:space="0" w:color="auto"/>
            <w:left w:val="none" w:sz="0" w:space="0" w:color="auto"/>
            <w:bottom w:val="none" w:sz="0" w:space="0" w:color="auto"/>
            <w:right w:val="none" w:sz="0" w:space="0" w:color="auto"/>
          </w:divBdr>
        </w:div>
        <w:div w:id="1319070112">
          <w:marLeft w:val="547"/>
          <w:marRight w:val="0"/>
          <w:marTop w:val="0"/>
          <w:marBottom w:val="0"/>
          <w:divBdr>
            <w:top w:val="none" w:sz="0" w:space="0" w:color="auto"/>
            <w:left w:val="none" w:sz="0" w:space="0" w:color="auto"/>
            <w:bottom w:val="none" w:sz="0" w:space="0" w:color="auto"/>
            <w:right w:val="none" w:sz="0" w:space="0" w:color="auto"/>
          </w:divBdr>
        </w:div>
        <w:div w:id="1422946191">
          <w:marLeft w:val="547"/>
          <w:marRight w:val="0"/>
          <w:marTop w:val="0"/>
          <w:marBottom w:val="0"/>
          <w:divBdr>
            <w:top w:val="none" w:sz="0" w:space="0" w:color="auto"/>
            <w:left w:val="none" w:sz="0" w:space="0" w:color="auto"/>
            <w:bottom w:val="none" w:sz="0" w:space="0" w:color="auto"/>
            <w:right w:val="none" w:sz="0" w:space="0" w:color="auto"/>
          </w:divBdr>
        </w:div>
        <w:div w:id="1662345832">
          <w:marLeft w:val="547"/>
          <w:marRight w:val="0"/>
          <w:marTop w:val="0"/>
          <w:marBottom w:val="0"/>
          <w:divBdr>
            <w:top w:val="none" w:sz="0" w:space="0" w:color="auto"/>
            <w:left w:val="none" w:sz="0" w:space="0" w:color="auto"/>
            <w:bottom w:val="none" w:sz="0" w:space="0" w:color="auto"/>
            <w:right w:val="none" w:sz="0" w:space="0" w:color="auto"/>
          </w:divBdr>
        </w:div>
        <w:div w:id="467011073">
          <w:marLeft w:val="547"/>
          <w:marRight w:val="0"/>
          <w:marTop w:val="0"/>
          <w:marBottom w:val="0"/>
          <w:divBdr>
            <w:top w:val="none" w:sz="0" w:space="0" w:color="auto"/>
            <w:left w:val="none" w:sz="0" w:space="0" w:color="auto"/>
            <w:bottom w:val="none" w:sz="0" w:space="0" w:color="auto"/>
            <w:right w:val="none" w:sz="0" w:space="0" w:color="auto"/>
          </w:divBdr>
        </w:div>
        <w:div w:id="524948072">
          <w:marLeft w:val="547"/>
          <w:marRight w:val="0"/>
          <w:marTop w:val="0"/>
          <w:marBottom w:val="0"/>
          <w:divBdr>
            <w:top w:val="none" w:sz="0" w:space="0" w:color="auto"/>
            <w:left w:val="none" w:sz="0" w:space="0" w:color="auto"/>
            <w:bottom w:val="none" w:sz="0" w:space="0" w:color="auto"/>
            <w:right w:val="none" w:sz="0" w:space="0" w:color="auto"/>
          </w:divBdr>
        </w:div>
        <w:div w:id="495613059">
          <w:marLeft w:val="547"/>
          <w:marRight w:val="0"/>
          <w:marTop w:val="0"/>
          <w:marBottom w:val="0"/>
          <w:divBdr>
            <w:top w:val="none" w:sz="0" w:space="0" w:color="auto"/>
            <w:left w:val="none" w:sz="0" w:space="0" w:color="auto"/>
            <w:bottom w:val="none" w:sz="0" w:space="0" w:color="auto"/>
            <w:right w:val="none" w:sz="0" w:space="0" w:color="auto"/>
          </w:divBdr>
        </w:div>
        <w:div w:id="1484664719">
          <w:marLeft w:val="547"/>
          <w:marRight w:val="0"/>
          <w:marTop w:val="0"/>
          <w:marBottom w:val="0"/>
          <w:divBdr>
            <w:top w:val="none" w:sz="0" w:space="0" w:color="auto"/>
            <w:left w:val="none" w:sz="0" w:space="0" w:color="auto"/>
            <w:bottom w:val="none" w:sz="0" w:space="0" w:color="auto"/>
            <w:right w:val="none" w:sz="0" w:space="0" w:color="auto"/>
          </w:divBdr>
        </w:div>
        <w:div w:id="1288970795">
          <w:marLeft w:val="547"/>
          <w:marRight w:val="0"/>
          <w:marTop w:val="0"/>
          <w:marBottom w:val="0"/>
          <w:divBdr>
            <w:top w:val="none" w:sz="0" w:space="0" w:color="auto"/>
            <w:left w:val="none" w:sz="0" w:space="0" w:color="auto"/>
            <w:bottom w:val="none" w:sz="0" w:space="0" w:color="auto"/>
            <w:right w:val="none" w:sz="0" w:space="0" w:color="auto"/>
          </w:divBdr>
        </w:div>
        <w:div w:id="1219518194">
          <w:marLeft w:val="547"/>
          <w:marRight w:val="0"/>
          <w:marTop w:val="0"/>
          <w:marBottom w:val="0"/>
          <w:divBdr>
            <w:top w:val="none" w:sz="0" w:space="0" w:color="auto"/>
            <w:left w:val="none" w:sz="0" w:space="0" w:color="auto"/>
            <w:bottom w:val="none" w:sz="0" w:space="0" w:color="auto"/>
            <w:right w:val="none" w:sz="0" w:space="0" w:color="auto"/>
          </w:divBdr>
        </w:div>
        <w:div w:id="467823078">
          <w:marLeft w:val="547"/>
          <w:marRight w:val="0"/>
          <w:marTop w:val="0"/>
          <w:marBottom w:val="0"/>
          <w:divBdr>
            <w:top w:val="none" w:sz="0" w:space="0" w:color="auto"/>
            <w:left w:val="none" w:sz="0" w:space="0" w:color="auto"/>
            <w:bottom w:val="none" w:sz="0" w:space="0" w:color="auto"/>
            <w:right w:val="none" w:sz="0" w:space="0" w:color="auto"/>
          </w:divBdr>
        </w:div>
        <w:div w:id="1924491058">
          <w:marLeft w:val="547"/>
          <w:marRight w:val="0"/>
          <w:marTop w:val="0"/>
          <w:marBottom w:val="0"/>
          <w:divBdr>
            <w:top w:val="none" w:sz="0" w:space="0" w:color="auto"/>
            <w:left w:val="none" w:sz="0" w:space="0" w:color="auto"/>
            <w:bottom w:val="none" w:sz="0" w:space="0" w:color="auto"/>
            <w:right w:val="none" w:sz="0" w:space="0" w:color="auto"/>
          </w:divBdr>
        </w:div>
        <w:div w:id="1711563065">
          <w:marLeft w:val="547"/>
          <w:marRight w:val="0"/>
          <w:marTop w:val="0"/>
          <w:marBottom w:val="0"/>
          <w:divBdr>
            <w:top w:val="none" w:sz="0" w:space="0" w:color="auto"/>
            <w:left w:val="none" w:sz="0" w:space="0" w:color="auto"/>
            <w:bottom w:val="none" w:sz="0" w:space="0" w:color="auto"/>
            <w:right w:val="none" w:sz="0" w:space="0" w:color="auto"/>
          </w:divBdr>
        </w:div>
        <w:div w:id="949508960">
          <w:marLeft w:val="547"/>
          <w:marRight w:val="0"/>
          <w:marTop w:val="0"/>
          <w:marBottom w:val="0"/>
          <w:divBdr>
            <w:top w:val="none" w:sz="0" w:space="0" w:color="auto"/>
            <w:left w:val="none" w:sz="0" w:space="0" w:color="auto"/>
            <w:bottom w:val="none" w:sz="0" w:space="0" w:color="auto"/>
            <w:right w:val="none" w:sz="0" w:space="0" w:color="auto"/>
          </w:divBdr>
        </w:div>
        <w:div w:id="890271433">
          <w:marLeft w:val="547"/>
          <w:marRight w:val="0"/>
          <w:marTop w:val="0"/>
          <w:marBottom w:val="0"/>
          <w:divBdr>
            <w:top w:val="none" w:sz="0" w:space="0" w:color="auto"/>
            <w:left w:val="none" w:sz="0" w:space="0" w:color="auto"/>
            <w:bottom w:val="none" w:sz="0" w:space="0" w:color="auto"/>
            <w:right w:val="none" w:sz="0" w:space="0" w:color="auto"/>
          </w:divBdr>
        </w:div>
        <w:div w:id="2030595489">
          <w:marLeft w:val="547"/>
          <w:marRight w:val="0"/>
          <w:marTop w:val="0"/>
          <w:marBottom w:val="0"/>
          <w:divBdr>
            <w:top w:val="none" w:sz="0" w:space="0" w:color="auto"/>
            <w:left w:val="none" w:sz="0" w:space="0" w:color="auto"/>
            <w:bottom w:val="none" w:sz="0" w:space="0" w:color="auto"/>
            <w:right w:val="none" w:sz="0" w:space="0" w:color="auto"/>
          </w:divBdr>
        </w:div>
        <w:div w:id="829173789">
          <w:marLeft w:val="547"/>
          <w:marRight w:val="0"/>
          <w:marTop w:val="0"/>
          <w:marBottom w:val="0"/>
          <w:divBdr>
            <w:top w:val="none" w:sz="0" w:space="0" w:color="auto"/>
            <w:left w:val="none" w:sz="0" w:space="0" w:color="auto"/>
            <w:bottom w:val="none" w:sz="0" w:space="0" w:color="auto"/>
            <w:right w:val="none" w:sz="0" w:space="0" w:color="auto"/>
          </w:divBdr>
        </w:div>
        <w:div w:id="653527301">
          <w:marLeft w:val="547"/>
          <w:marRight w:val="0"/>
          <w:marTop w:val="0"/>
          <w:marBottom w:val="0"/>
          <w:divBdr>
            <w:top w:val="none" w:sz="0" w:space="0" w:color="auto"/>
            <w:left w:val="none" w:sz="0" w:space="0" w:color="auto"/>
            <w:bottom w:val="none" w:sz="0" w:space="0" w:color="auto"/>
            <w:right w:val="none" w:sz="0" w:space="0" w:color="auto"/>
          </w:divBdr>
        </w:div>
        <w:div w:id="607934139">
          <w:marLeft w:val="547"/>
          <w:marRight w:val="0"/>
          <w:marTop w:val="0"/>
          <w:marBottom w:val="0"/>
          <w:divBdr>
            <w:top w:val="none" w:sz="0" w:space="0" w:color="auto"/>
            <w:left w:val="none" w:sz="0" w:space="0" w:color="auto"/>
            <w:bottom w:val="none" w:sz="0" w:space="0" w:color="auto"/>
            <w:right w:val="none" w:sz="0" w:space="0" w:color="auto"/>
          </w:divBdr>
        </w:div>
        <w:div w:id="800266397">
          <w:marLeft w:val="547"/>
          <w:marRight w:val="0"/>
          <w:marTop w:val="0"/>
          <w:marBottom w:val="0"/>
          <w:divBdr>
            <w:top w:val="none" w:sz="0" w:space="0" w:color="auto"/>
            <w:left w:val="none" w:sz="0" w:space="0" w:color="auto"/>
            <w:bottom w:val="none" w:sz="0" w:space="0" w:color="auto"/>
            <w:right w:val="none" w:sz="0" w:space="0" w:color="auto"/>
          </w:divBdr>
        </w:div>
        <w:div w:id="890269182">
          <w:marLeft w:val="547"/>
          <w:marRight w:val="0"/>
          <w:marTop w:val="0"/>
          <w:marBottom w:val="0"/>
          <w:divBdr>
            <w:top w:val="none" w:sz="0" w:space="0" w:color="auto"/>
            <w:left w:val="none" w:sz="0" w:space="0" w:color="auto"/>
            <w:bottom w:val="none" w:sz="0" w:space="0" w:color="auto"/>
            <w:right w:val="none" w:sz="0" w:space="0" w:color="auto"/>
          </w:divBdr>
        </w:div>
        <w:div w:id="1566062660">
          <w:marLeft w:val="547"/>
          <w:marRight w:val="0"/>
          <w:marTop w:val="0"/>
          <w:marBottom w:val="0"/>
          <w:divBdr>
            <w:top w:val="none" w:sz="0" w:space="0" w:color="auto"/>
            <w:left w:val="none" w:sz="0" w:space="0" w:color="auto"/>
            <w:bottom w:val="none" w:sz="0" w:space="0" w:color="auto"/>
            <w:right w:val="none" w:sz="0" w:space="0" w:color="auto"/>
          </w:divBdr>
        </w:div>
        <w:div w:id="1980067231">
          <w:marLeft w:val="547"/>
          <w:marRight w:val="0"/>
          <w:marTop w:val="0"/>
          <w:marBottom w:val="0"/>
          <w:divBdr>
            <w:top w:val="none" w:sz="0" w:space="0" w:color="auto"/>
            <w:left w:val="none" w:sz="0" w:space="0" w:color="auto"/>
            <w:bottom w:val="none" w:sz="0" w:space="0" w:color="auto"/>
            <w:right w:val="none" w:sz="0" w:space="0" w:color="auto"/>
          </w:divBdr>
        </w:div>
        <w:div w:id="582422854">
          <w:marLeft w:val="547"/>
          <w:marRight w:val="0"/>
          <w:marTop w:val="0"/>
          <w:marBottom w:val="0"/>
          <w:divBdr>
            <w:top w:val="none" w:sz="0" w:space="0" w:color="auto"/>
            <w:left w:val="none" w:sz="0" w:space="0" w:color="auto"/>
            <w:bottom w:val="none" w:sz="0" w:space="0" w:color="auto"/>
            <w:right w:val="none" w:sz="0" w:space="0" w:color="auto"/>
          </w:divBdr>
        </w:div>
        <w:div w:id="257494804">
          <w:marLeft w:val="547"/>
          <w:marRight w:val="0"/>
          <w:marTop w:val="0"/>
          <w:marBottom w:val="0"/>
          <w:divBdr>
            <w:top w:val="none" w:sz="0" w:space="0" w:color="auto"/>
            <w:left w:val="none" w:sz="0" w:space="0" w:color="auto"/>
            <w:bottom w:val="none" w:sz="0" w:space="0" w:color="auto"/>
            <w:right w:val="none" w:sz="0" w:space="0" w:color="auto"/>
          </w:divBdr>
        </w:div>
        <w:div w:id="1836679123">
          <w:marLeft w:val="547"/>
          <w:marRight w:val="0"/>
          <w:marTop w:val="0"/>
          <w:marBottom w:val="0"/>
          <w:divBdr>
            <w:top w:val="none" w:sz="0" w:space="0" w:color="auto"/>
            <w:left w:val="none" w:sz="0" w:space="0" w:color="auto"/>
            <w:bottom w:val="none" w:sz="0" w:space="0" w:color="auto"/>
            <w:right w:val="none" w:sz="0" w:space="0" w:color="auto"/>
          </w:divBdr>
        </w:div>
        <w:div w:id="978730424">
          <w:marLeft w:val="547"/>
          <w:marRight w:val="0"/>
          <w:marTop w:val="0"/>
          <w:marBottom w:val="0"/>
          <w:divBdr>
            <w:top w:val="none" w:sz="0" w:space="0" w:color="auto"/>
            <w:left w:val="none" w:sz="0" w:space="0" w:color="auto"/>
            <w:bottom w:val="none" w:sz="0" w:space="0" w:color="auto"/>
            <w:right w:val="none" w:sz="0" w:space="0" w:color="auto"/>
          </w:divBdr>
        </w:div>
        <w:div w:id="597492361">
          <w:marLeft w:val="547"/>
          <w:marRight w:val="0"/>
          <w:marTop w:val="0"/>
          <w:marBottom w:val="0"/>
          <w:divBdr>
            <w:top w:val="none" w:sz="0" w:space="0" w:color="auto"/>
            <w:left w:val="none" w:sz="0" w:space="0" w:color="auto"/>
            <w:bottom w:val="none" w:sz="0" w:space="0" w:color="auto"/>
            <w:right w:val="none" w:sz="0" w:space="0" w:color="auto"/>
          </w:divBdr>
        </w:div>
        <w:div w:id="755054526">
          <w:marLeft w:val="547"/>
          <w:marRight w:val="0"/>
          <w:marTop w:val="0"/>
          <w:marBottom w:val="0"/>
          <w:divBdr>
            <w:top w:val="none" w:sz="0" w:space="0" w:color="auto"/>
            <w:left w:val="none" w:sz="0" w:space="0" w:color="auto"/>
            <w:bottom w:val="none" w:sz="0" w:space="0" w:color="auto"/>
            <w:right w:val="none" w:sz="0" w:space="0" w:color="auto"/>
          </w:divBdr>
        </w:div>
        <w:div w:id="1240749124">
          <w:marLeft w:val="547"/>
          <w:marRight w:val="0"/>
          <w:marTop w:val="0"/>
          <w:marBottom w:val="0"/>
          <w:divBdr>
            <w:top w:val="none" w:sz="0" w:space="0" w:color="auto"/>
            <w:left w:val="none" w:sz="0" w:space="0" w:color="auto"/>
            <w:bottom w:val="none" w:sz="0" w:space="0" w:color="auto"/>
            <w:right w:val="none" w:sz="0" w:space="0" w:color="auto"/>
          </w:divBdr>
        </w:div>
        <w:div w:id="1140271653">
          <w:marLeft w:val="547"/>
          <w:marRight w:val="0"/>
          <w:marTop w:val="0"/>
          <w:marBottom w:val="0"/>
          <w:divBdr>
            <w:top w:val="none" w:sz="0" w:space="0" w:color="auto"/>
            <w:left w:val="none" w:sz="0" w:space="0" w:color="auto"/>
            <w:bottom w:val="none" w:sz="0" w:space="0" w:color="auto"/>
            <w:right w:val="none" w:sz="0" w:space="0" w:color="auto"/>
          </w:divBdr>
        </w:div>
        <w:div w:id="1953126513">
          <w:marLeft w:val="547"/>
          <w:marRight w:val="0"/>
          <w:marTop w:val="0"/>
          <w:marBottom w:val="0"/>
          <w:divBdr>
            <w:top w:val="none" w:sz="0" w:space="0" w:color="auto"/>
            <w:left w:val="none" w:sz="0" w:space="0" w:color="auto"/>
            <w:bottom w:val="none" w:sz="0" w:space="0" w:color="auto"/>
            <w:right w:val="none" w:sz="0" w:space="0" w:color="auto"/>
          </w:divBdr>
        </w:div>
        <w:div w:id="807404390">
          <w:marLeft w:val="547"/>
          <w:marRight w:val="0"/>
          <w:marTop w:val="0"/>
          <w:marBottom w:val="0"/>
          <w:divBdr>
            <w:top w:val="none" w:sz="0" w:space="0" w:color="auto"/>
            <w:left w:val="none" w:sz="0" w:space="0" w:color="auto"/>
            <w:bottom w:val="none" w:sz="0" w:space="0" w:color="auto"/>
            <w:right w:val="none" w:sz="0" w:space="0" w:color="auto"/>
          </w:divBdr>
        </w:div>
        <w:div w:id="1616476683">
          <w:marLeft w:val="547"/>
          <w:marRight w:val="0"/>
          <w:marTop w:val="0"/>
          <w:marBottom w:val="0"/>
          <w:divBdr>
            <w:top w:val="none" w:sz="0" w:space="0" w:color="auto"/>
            <w:left w:val="none" w:sz="0" w:space="0" w:color="auto"/>
            <w:bottom w:val="none" w:sz="0" w:space="0" w:color="auto"/>
            <w:right w:val="none" w:sz="0" w:space="0" w:color="auto"/>
          </w:divBdr>
        </w:div>
        <w:div w:id="1720859109">
          <w:marLeft w:val="547"/>
          <w:marRight w:val="0"/>
          <w:marTop w:val="0"/>
          <w:marBottom w:val="0"/>
          <w:divBdr>
            <w:top w:val="none" w:sz="0" w:space="0" w:color="auto"/>
            <w:left w:val="none" w:sz="0" w:space="0" w:color="auto"/>
            <w:bottom w:val="none" w:sz="0" w:space="0" w:color="auto"/>
            <w:right w:val="none" w:sz="0" w:space="0" w:color="auto"/>
          </w:divBdr>
        </w:div>
        <w:div w:id="319313168">
          <w:marLeft w:val="547"/>
          <w:marRight w:val="0"/>
          <w:marTop w:val="0"/>
          <w:marBottom w:val="0"/>
          <w:divBdr>
            <w:top w:val="none" w:sz="0" w:space="0" w:color="auto"/>
            <w:left w:val="none" w:sz="0" w:space="0" w:color="auto"/>
            <w:bottom w:val="none" w:sz="0" w:space="0" w:color="auto"/>
            <w:right w:val="none" w:sz="0" w:space="0" w:color="auto"/>
          </w:divBdr>
        </w:div>
      </w:divsChild>
    </w:div>
    <w:div w:id="1890066878">
      <w:bodyDiv w:val="1"/>
      <w:marLeft w:val="0"/>
      <w:marRight w:val="0"/>
      <w:marTop w:val="0"/>
      <w:marBottom w:val="0"/>
      <w:divBdr>
        <w:top w:val="none" w:sz="0" w:space="0" w:color="auto"/>
        <w:left w:val="none" w:sz="0" w:space="0" w:color="auto"/>
        <w:bottom w:val="none" w:sz="0" w:space="0" w:color="auto"/>
        <w:right w:val="none" w:sz="0" w:space="0" w:color="auto"/>
      </w:divBdr>
    </w:div>
    <w:div w:id="1932658163">
      <w:bodyDiv w:val="1"/>
      <w:marLeft w:val="0"/>
      <w:marRight w:val="0"/>
      <w:marTop w:val="0"/>
      <w:marBottom w:val="0"/>
      <w:divBdr>
        <w:top w:val="none" w:sz="0" w:space="0" w:color="auto"/>
        <w:left w:val="none" w:sz="0" w:space="0" w:color="auto"/>
        <w:bottom w:val="none" w:sz="0" w:space="0" w:color="auto"/>
        <w:right w:val="none" w:sz="0" w:space="0" w:color="auto"/>
      </w:divBdr>
      <w:divsChild>
        <w:div w:id="1586844225">
          <w:marLeft w:val="0"/>
          <w:marRight w:val="0"/>
          <w:marTop w:val="0"/>
          <w:marBottom w:val="0"/>
          <w:divBdr>
            <w:top w:val="none" w:sz="0" w:space="0" w:color="auto"/>
            <w:left w:val="none" w:sz="0" w:space="0" w:color="auto"/>
            <w:bottom w:val="none" w:sz="0" w:space="0" w:color="auto"/>
            <w:right w:val="none" w:sz="0" w:space="0" w:color="auto"/>
          </w:divBdr>
          <w:divsChild>
            <w:div w:id="1242566072">
              <w:marLeft w:val="0"/>
              <w:marRight w:val="0"/>
              <w:marTop w:val="0"/>
              <w:marBottom w:val="0"/>
              <w:divBdr>
                <w:top w:val="none" w:sz="0" w:space="0" w:color="auto"/>
                <w:left w:val="none" w:sz="0" w:space="0" w:color="auto"/>
                <w:bottom w:val="none" w:sz="0" w:space="0" w:color="auto"/>
                <w:right w:val="none" w:sz="0" w:space="0" w:color="auto"/>
              </w:divBdr>
              <w:divsChild>
                <w:div w:id="1151602988">
                  <w:marLeft w:val="0"/>
                  <w:marRight w:val="0"/>
                  <w:marTop w:val="0"/>
                  <w:marBottom w:val="0"/>
                  <w:divBdr>
                    <w:top w:val="none" w:sz="0" w:space="0" w:color="auto"/>
                    <w:left w:val="none" w:sz="0" w:space="0" w:color="auto"/>
                    <w:bottom w:val="none" w:sz="0" w:space="0" w:color="auto"/>
                    <w:right w:val="none" w:sz="0" w:space="0" w:color="auto"/>
                  </w:divBdr>
                  <w:divsChild>
                    <w:div w:id="496267470">
                      <w:marLeft w:val="0"/>
                      <w:marRight w:val="0"/>
                      <w:marTop w:val="0"/>
                      <w:marBottom w:val="0"/>
                      <w:divBdr>
                        <w:top w:val="none" w:sz="0" w:space="0" w:color="auto"/>
                        <w:left w:val="none" w:sz="0" w:space="0" w:color="auto"/>
                        <w:bottom w:val="none" w:sz="0" w:space="0" w:color="auto"/>
                        <w:right w:val="none" w:sz="0" w:space="0" w:color="auto"/>
                      </w:divBdr>
                      <w:divsChild>
                        <w:div w:id="33310135">
                          <w:marLeft w:val="0"/>
                          <w:marRight w:val="0"/>
                          <w:marTop w:val="0"/>
                          <w:marBottom w:val="0"/>
                          <w:divBdr>
                            <w:top w:val="none" w:sz="0" w:space="0" w:color="auto"/>
                            <w:left w:val="none" w:sz="0" w:space="0" w:color="auto"/>
                            <w:bottom w:val="none" w:sz="0" w:space="0" w:color="auto"/>
                            <w:right w:val="none" w:sz="0" w:space="0" w:color="auto"/>
                          </w:divBdr>
                          <w:divsChild>
                            <w:div w:id="1281761719">
                              <w:marLeft w:val="0"/>
                              <w:marRight w:val="0"/>
                              <w:marTop w:val="0"/>
                              <w:marBottom w:val="0"/>
                              <w:divBdr>
                                <w:top w:val="none" w:sz="0" w:space="0" w:color="auto"/>
                                <w:left w:val="none" w:sz="0" w:space="0" w:color="auto"/>
                                <w:bottom w:val="single" w:sz="6" w:space="0" w:color="BEBEBE"/>
                                <w:right w:val="none" w:sz="0" w:space="0" w:color="auto"/>
                              </w:divBdr>
                              <w:divsChild>
                                <w:div w:id="1081173769">
                                  <w:marLeft w:val="0"/>
                                  <w:marRight w:val="0"/>
                                  <w:marTop w:val="0"/>
                                  <w:marBottom w:val="0"/>
                                  <w:divBdr>
                                    <w:top w:val="none" w:sz="0" w:space="0" w:color="auto"/>
                                    <w:left w:val="none" w:sz="0" w:space="0" w:color="auto"/>
                                    <w:bottom w:val="none" w:sz="0" w:space="0" w:color="auto"/>
                                    <w:right w:val="none" w:sz="0" w:space="0" w:color="auto"/>
                                  </w:divBdr>
                                  <w:divsChild>
                                    <w:div w:id="663122597">
                                      <w:marLeft w:val="0"/>
                                      <w:marRight w:val="0"/>
                                      <w:marTop w:val="0"/>
                                      <w:marBottom w:val="0"/>
                                      <w:divBdr>
                                        <w:top w:val="none" w:sz="0" w:space="0" w:color="auto"/>
                                        <w:left w:val="none" w:sz="0" w:space="0" w:color="auto"/>
                                        <w:bottom w:val="none" w:sz="0" w:space="0" w:color="auto"/>
                                        <w:right w:val="none" w:sz="0" w:space="0" w:color="auto"/>
                                      </w:divBdr>
                                      <w:divsChild>
                                        <w:div w:id="342246185">
                                          <w:marLeft w:val="0"/>
                                          <w:marRight w:val="0"/>
                                          <w:marTop w:val="0"/>
                                          <w:marBottom w:val="0"/>
                                          <w:divBdr>
                                            <w:top w:val="none" w:sz="0" w:space="0" w:color="auto"/>
                                            <w:left w:val="none" w:sz="0" w:space="0" w:color="auto"/>
                                            <w:bottom w:val="none" w:sz="0" w:space="0" w:color="auto"/>
                                            <w:right w:val="none" w:sz="0" w:space="0" w:color="auto"/>
                                          </w:divBdr>
                                          <w:divsChild>
                                            <w:div w:id="1734572978">
                                              <w:marLeft w:val="0"/>
                                              <w:marRight w:val="0"/>
                                              <w:marTop w:val="0"/>
                                              <w:marBottom w:val="0"/>
                                              <w:divBdr>
                                                <w:top w:val="none" w:sz="0" w:space="0" w:color="auto"/>
                                                <w:left w:val="none" w:sz="0" w:space="0" w:color="auto"/>
                                                <w:bottom w:val="none" w:sz="0" w:space="0" w:color="auto"/>
                                                <w:right w:val="none" w:sz="0" w:space="0" w:color="auto"/>
                                              </w:divBdr>
                                              <w:divsChild>
                                                <w:div w:id="647244462">
                                                  <w:marLeft w:val="0"/>
                                                  <w:marRight w:val="0"/>
                                                  <w:marTop w:val="0"/>
                                                  <w:marBottom w:val="0"/>
                                                  <w:divBdr>
                                                    <w:top w:val="none" w:sz="0" w:space="0" w:color="auto"/>
                                                    <w:left w:val="none" w:sz="0" w:space="0" w:color="auto"/>
                                                    <w:bottom w:val="none" w:sz="0" w:space="0" w:color="auto"/>
                                                    <w:right w:val="none" w:sz="0" w:space="0" w:color="auto"/>
                                                  </w:divBdr>
                                                  <w:divsChild>
                                                    <w:div w:id="500002124">
                                                      <w:marLeft w:val="0"/>
                                                      <w:marRight w:val="0"/>
                                                      <w:marTop w:val="0"/>
                                                      <w:marBottom w:val="0"/>
                                                      <w:divBdr>
                                                        <w:top w:val="none" w:sz="0" w:space="0" w:color="auto"/>
                                                        <w:left w:val="none" w:sz="0" w:space="0" w:color="auto"/>
                                                        <w:bottom w:val="none" w:sz="0" w:space="0" w:color="auto"/>
                                                        <w:right w:val="none" w:sz="0" w:space="0" w:color="auto"/>
                                                      </w:divBdr>
                                                      <w:divsChild>
                                                        <w:div w:id="60907174">
                                                          <w:marLeft w:val="0"/>
                                                          <w:marRight w:val="0"/>
                                                          <w:marTop w:val="0"/>
                                                          <w:marBottom w:val="0"/>
                                                          <w:divBdr>
                                                            <w:top w:val="none" w:sz="0" w:space="0" w:color="auto"/>
                                                            <w:left w:val="none" w:sz="0" w:space="0" w:color="auto"/>
                                                            <w:bottom w:val="none" w:sz="0" w:space="0" w:color="auto"/>
                                                            <w:right w:val="none" w:sz="0" w:space="0" w:color="auto"/>
                                                          </w:divBdr>
                                                          <w:divsChild>
                                                            <w:div w:id="1257592031">
                                                              <w:marLeft w:val="0"/>
                                                              <w:marRight w:val="0"/>
                                                              <w:marTop w:val="0"/>
                                                              <w:marBottom w:val="0"/>
                                                              <w:divBdr>
                                                                <w:top w:val="none" w:sz="0" w:space="0" w:color="auto"/>
                                                                <w:left w:val="none" w:sz="0" w:space="0" w:color="auto"/>
                                                                <w:bottom w:val="none" w:sz="0" w:space="0" w:color="auto"/>
                                                                <w:right w:val="none" w:sz="0" w:space="0" w:color="auto"/>
                                                              </w:divBdr>
                                                              <w:divsChild>
                                                                <w:div w:id="1164667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411909">
                                  <w:marLeft w:val="0"/>
                                  <w:marRight w:val="0"/>
                                  <w:marTop w:val="0"/>
                                  <w:marBottom w:val="0"/>
                                  <w:divBdr>
                                    <w:top w:val="none" w:sz="0" w:space="0" w:color="auto"/>
                                    <w:left w:val="none" w:sz="0" w:space="0" w:color="auto"/>
                                    <w:bottom w:val="none" w:sz="0" w:space="0" w:color="auto"/>
                                    <w:right w:val="none" w:sz="0" w:space="0" w:color="auto"/>
                                  </w:divBdr>
                                  <w:divsChild>
                                    <w:div w:id="1437361368">
                                      <w:marLeft w:val="0"/>
                                      <w:marRight w:val="0"/>
                                      <w:marTop w:val="0"/>
                                      <w:marBottom w:val="0"/>
                                      <w:divBdr>
                                        <w:top w:val="none" w:sz="0" w:space="0" w:color="auto"/>
                                        <w:left w:val="none" w:sz="0" w:space="0" w:color="auto"/>
                                        <w:bottom w:val="none" w:sz="0" w:space="0" w:color="auto"/>
                                        <w:right w:val="none" w:sz="0" w:space="0" w:color="auto"/>
                                      </w:divBdr>
                                      <w:divsChild>
                                        <w:div w:id="665134462">
                                          <w:marLeft w:val="0"/>
                                          <w:marRight w:val="0"/>
                                          <w:marTop w:val="0"/>
                                          <w:marBottom w:val="0"/>
                                          <w:divBdr>
                                            <w:top w:val="none" w:sz="0" w:space="0" w:color="auto"/>
                                            <w:left w:val="none" w:sz="0" w:space="0" w:color="auto"/>
                                            <w:bottom w:val="none" w:sz="0" w:space="0" w:color="auto"/>
                                            <w:right w:val="none" w:sz="0" w:space="0" w:color="auto"/>
                                          </w:divBdr>
                                          <w:divsChild>
                                            <w:div w:id="206723746">
                                              <w:marLeft w:val="0"/>
                                              <w:marRight w:val="0"/>
                                              <w:marTop w:val="0"/>
                                              <w:marBottom w:val="0"/>
                                              <w:divBdr>
                                                <w:top w:val="none" w:sz="0" w:space="0" w:color="auto"/>
                                                <w:left w:val="none" w:sz="0" w:space="0" w:color="auto"/>
                                                <w:bottom w:val="none" w:sz="0" w:space="0" w:color="auto"/>
                                                <w:right w:val="none" w:sz="0" w:space="0" w:color="auto"/>
                                              </w:divBdr>
                                              <w:divsChild>
                                                <w:div w:id="895900498">
                                                  <w:marLeft w:val="0"/>
                                                  <w:marRight w:val="0"/>
                                                  <w:marTop w:val="0"/>
                                                  <w:marBottom w:val="0"/>
                                                  <w:divBdr>
                                                    <w:top w:val="none" w:sz="0" w:space="0" w:color="auto"/>
                                                    <w:left w:val="none" w:sz="0" w:space="0" w:color="auto"/>
                                                    <w:bottom w:val="none" w:sz="0" w:space="0" w:color="auto"/>
                                                    <w:right w:val="none" w:sz="0" w:space="0" w:color="auto"/>
                                                  </w:divBdr>
                                                  <w:divsChild>
                                                    <w:div w:id="18191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385796">
      <w:bodyDiv w:val="1"/>
      <w:marLeft w:val="0"/>
      <w:marRight w:val="0"/>
      <w:marTop w:val="0"/>
      <w:marBottom w:val="0"/>
      <w:divBdr>
        <w:top w:val="none" w:sz="0" w:space="0" w:color="auto"/>
        <w:left w:val="none" w:sz="0" w:space="0" w:color="auto"/>
        <w:bottom w:val="none" w:sz="0" w:space="0" w:color="auto"/>
        <w:right w:val="none" w:sz="0" w:space="0" w:color="auto"/>
      </w:divBdr>
    </w:div>
    <w:div w:id="1948537367">
      <w:bodyDiv w:val="1"/>
      <w:marLeft w:val="0"/>
      <w:marRight w:val="0"/>
      <w:marTop w:val="0"/>
      <w:marBottom w:val="0"/>
      <w:divBdr>
        <w:top w:val="none" w:sz="0" w:space="0" w:color="auto"/>
        <w:left w:val="none" w:sz="0" w:space="0" w:color="auto"/>
        <w:bottom w:val="none" w:sz="0" w:space="0" w:color="auto"/>
        <w:right w:val="none" w:sz="0" w:space="0" w:color="auto"/>
      </w:divBdr>
    </w:div>
    <w:div w:id="1967197633">
      <w:bodyDiv w:val="1"/>
      <w:marLeft w:val="0"/>
      <w:marRight w:val="0"/>
      <w:marTop w:val="0"/>
      <w:marBottom w:val="0"/>
      <w:divBdr>
        <w:top w:val="none" w:sz="0" w:space="0" w:color="auto"/>
        <w:left w:val="none" w:sz="0" w:space="0" w:color="auto"/>
        <w:bottom w:val="none" w:sz="0" w:space="0" w:color="auto"/>
        <w:right w:val="none" w:sz="0" w:space="0" w:color="auto"/>
      </w:divBdr>
    </w:div>
    <w:div w:id="2045670333">
      <w:bodyDiv w:val="1"/>
      <w:marLeft w:val="0"/>
      <w:marRight w:val="0"/>
      <w:marTop w:val="0"/>
      <w:marBottom w:val="0"/>
      <w:divBdr>
        <w:top w:val="none" w:sz="0" w:space="0" w:color="auto"/>
        <w:left w:val="none" w:sz="0" w:space="0" w:color="auto"/>
        <w:bottom w:val="none" w:sz="0" w:space="0" w:color="auto"/>
        <w:right w:val="none" w:sz="0" w:space="0" w:color="auto"/>
      </w:divBdr>
    </w:div>
    <w:div w:id="2108957650">
      <w:bodyDiv w:val="1"/>
      <w:marLeft w:val="0"/>
      <w:marRight w:val="0"/>
      <w:marTop w:val="0"/>
      <w:marBottom w:val="0"/>
      <w:divBdr>
        <w:top w:val="none" w:sz="0" w:space="0" w:color="auto"/>
        <w:left w:val="none" w:sz="0" w:space="0" w:color="auto"/>
        <w:bottom w:val="none" w:sz="0" w:space="0" w:color="auto"/>
        <w:right w:val="none" w:sz="0" w:space="0" w:color="auto"/>
      </w:divBdr>
      <w:divsChild>
        <w:div w:id="455609969">
          <w:marLeft w:val="0"/>
          <w:marRight w:val="0"/>
          <w:marTop w:val="0"/>
          <w:marBottom w:val="0"/>
          <w:divBdr>
            <w:top w:val="none" w:sz="0" w:space="0" w:color="auto"/>
            <w:left w:val="none" w:sz="0" w:space="0" w:color="auto"/>
            <w:bottom w:val="none" w:sz="0" w:space="0" w:color="auto"/>
            <w:right w:val="none" w:sz="0" w:space="0" w:color="auto"/>
          </w:divBdr>
          <w:divsChild>
            <w:div w:id="170146634">
              <w:marLeft w:val="0"/>
              <w:marRight w:val="0"/>
              <w:marTop w:val="0"/>
              <w:marBottom w:val="0"/>
              <w:divBdr>
                <w:top w:val="none" w:sz="0" w:space="0" w:color="auto"/>
                <w:left w:val="none" w:sz="0" w:space="0" w:color="auto"/>
                <w:bottom w:val="none" w:sz="0" w:space="0" w:color="auto"/>
                <w:right w:val="none" w:sz="0" w:space="0" w:color="auto"/>
              </w:divBdr>
              <w:divsChild>
                <w:div w:id="44793575">
                  <w:marLeft w:val="0"/>
                  <w:marRight w:val="0"/>
                  <w:marTop w:val="0"/>
                  <w:marBottom w:val="0"/>
                  <w:divBdr>
                    <w:top w:val="none" w:sz="0" w:space="0" w:color="auto"/>
                    <w:left w:val="none" w:sz="0" w:space="0" w:color="auto"/>
                    <w:bottom w:val="none" w:sz="0" w:space="0" w:color="auto"/>
                    <w:right w:val="none" w:sz="0" w:space="0" w:color="auto"/>
                  </w:divBdr>
                  <w:divsChild>
                    <w:div w:id="799307030">
                      <w:marLeft w:val="0"/>
                      <w:marRight w:val="0"/>
                      <w:marTop w:val="0"/>
                      <w:marBottom w:val="0"/>
                      <w:divBdr>
                        <w:top w:val="none" w:sz="0" w:space="0" w:color="auto"/>
                        <w:left w:val="none" w:sz="0" w:space="0" w:color="auto"/>
                        <w:bottom w:val="none" w:sz="0" w:space="0" w:color="auto"/>
                        <w:right w:val="none" w:sz="0" w:space="0" w:color="auto"/>
                      </w:divBdr>
                      <w:divsChild>
                        <w:div w:id="1726097195">
                          <w:marLeft w:val="0"/>
                          <w:marRight w:val="0"/>
                          <w:marTop w:val="0"/>
                          <w:marBottom w:val="0"/>
                          <w:divBdr>
                            <w:top w:val="none" w:sz="0" w:space="0" w:color="auto"/>
                            <w:left w:val="none" w:sz="0" w:space="0" w:color="auto"/>
                            <w:bottom w:val="none" w:sz="0" w:space="0" w:color="auto"/>
                            <w:right w:val="none" w:sz="0" w:space="0" w:color="auto"/>
                          </w:divBdr>
                          <w:divsChild>
                            <w:div w:id="1813136772">
                              <w:marLeft w:val="0"/>
                              <w:marRight w:val="0"/>
                              <w:marTop w:val="0"/>
                              <w:marBottom w:val="0"/>
                              <w:divBdr>
                                <w:top w:val="none" w:sz="0" w:space="0" w:color="auto"/>
                                <w:left w:val="none" w:sz="0" w:space="0" w:color="auto"/>
                                <w:bottom w:val="single" w:sz="6" w:space="0" w:color="BEBEBE"/>
                                <w:right w:val="none" w:sz="0" w:space="0" w:color="auto"/>
                              </w:divBdr>
                              <w:divsChild>
                                <w:div w:id="1104694440">
                                  <w:marLeft w:val="0"/>
                                  <w:marRight w:val="0"/>
                                  <w:marTop w:val="0"/>
                                  <w:marBottom w:val="0"/>
                                  <w:divBdr>
                                    <w:top w:val="none" w:sz="0" w:space="0" w:color="auto"/>
                                    <w:left w:val="none" w:sz="0" w:space="0" w:color="auto"/>
                                    <w:bottom w:val="none" w:sz="0" w:space="0" w:color="auto"/>
                                    <w:right w:val="none" w:sz="0" w:space="0" w:color="auto"/>
                                  </w:divBdr>
                                  <w:divsChild>
                                    <w:div w:id="1349718229">
                                      <w:marLeft w:val="0"/>
                                      <w:marRight w:val="0"/>
                                      <w:marTop w:val="0"/>
                                      <w:marBottom w:val="0"/>
                                      <w:divBdr>
                                        <w:top w:val="none" w:sz="0" w:space="0" w:color="auto"/>
                                        <w:left w:val="none" w:sz="0" w:space="0" w:color="auto"/>
                                        <w:bottom w:val="none" w:sz="0" w:space="0" w:color="auto"/>
                                        <w:right w:val="none" w:sz="0" w:space="0" w:color="auto"/>
                                      </w:divBdr>
                                      <w:divsChild>
                                        <w:div w:id="2107997452">
                                          <w:marLeft w:val="0"/>
                                          <w:marRight w:val="0"/>
                                          <w:marTop w:val="0"/>
                                          <w:marBottom w:val="0"/>
                                          <w:divBdr>
                                            <w:top w:val="none" w:sz="0" w:space="0" w:color="auto"/>
                                            <w:left w:val="none" w:sz="0" w:space="0" w:color="auto"/>
                                            <w:bottom w:val="none" w:sz="0" w:space="0" w:color="auto"/>
                                            <w:right w:val="none" w:sz="0" w:space="0" w:color="auto"/>
                                          </w:divBdr>
                                          <w:divsChild>
                                            <w:div w:id="398409622">
                                              <w:marLeft w:val="0"/>
                                              <w:marRight w:val="0"/>
                                              <w:marTop w:val="0"/>
                                              <w:marBottom w:val="0"/>
                                              <w:divBdr>
                                                <w:top w:val="none" w:sz="0" w:space="0" w:color="auto"/>
                                                <w:left w:val="none" w:sz="0" w:space="0" w:color="auto"/>
                                                <w:bottom w:val="none" w:sz="0" w:space="0" w:color="auto"/>
                                                <w:right w:val="none" w:sz="0" w:space="0" w:color="auto"/>
                                              </w:divBdr>
                                              <w:divsChild>
                                                <w:div w:id="1298681735">
                                                  <w:marLeft w:val="0"/>
                                                  <w:marRight w:val="0"/>
                                                  <w:marTop w:val="0"/>
                                                  <w:marBottom w:val="0"/>
                                                  <w:divBdr>
                                                    <w:top w:val="none" w:sz="0" w:space="0" w:color="auto"/>
                                                    <w:left w:val="none" w:sz="0" w:space="0" w:color="auto"/>
                                                    <w:bottom w:val="none" w:sz="0" w:space="0" w:color="auto"/>
                                                    <w:right w:val="none" w:sz="0" w:space="0" w:color="auto"/>
                                                  </w:divBdr>
                                                  <w:divsChild>
                                                    <w:div w:id="235866365">
                                                      <w:marLeft w:val="0"/>
                                                      <w:marRight w:val="0"/>
                                                      <w:marTop w:val="0"/>
                                                      <w:marBottom w:val="0"/>
                                                      <w:divBdr>
                                                        <w:top w:val="none" w:sz="0" w:space="0" w:color="auto"/>
                                                        <w:left w:val="none" w:sz="0" w:space="0" w:color="auto"/>
                                                        <w:bottom w:val="none" w:sz="0" w:space="0" w:color="auto"/>
                                                        <w:right w:val="none" w:sz="0" w:space="0" w:color="auto"/>
                                                      </w:divBdr>
                                                      <w:divsChild>
                                                        <w:div w:id="2141454863">
                                                          <w:marLeft w:val="0"/>
                                                          <w:marRight w:val="0"/>
                                                          <w:marTop w:val="0"/>
                                                          <w:marBottom w:val="0"/>
                                                          <w:divBdr>
                                                            <w:top w:val="none" w:sz="0" w:space="0" w:color="auto"/>
                                                            <w:left w:val="none" w:sz="0" w:space="0" w:color="auto"/>
                                                            <w:bottom w:val="none" w:sz="0" w:space="0" w:color="auto"/>
                                                            <w:right w:val="none" w:sz="0" w:space="0" w:color="auto"/>
                                                          </w:divBdr>
                                                          <w:divsChild>
                                                            <w:div w:id="1810585616">
                                                              <w:marLeft w:val="0"/>
                                                              <w:marRight w:val="0"/>
                                                              <w:marTop w:val="0"/>
                                                              <w:marBottom w:val="0"/>
                                                              <w:divBdr>
                                                                <w:top w:val="none" w:sz="0" w:space="0" w:color="auto"/>
                                                                <w:left w:val="none" w:sz="0" w:space="0" w:color="auto"/>
                                                                <w:bottom w:val="none" w:sz="0" w:space="0" w:color="auto"/>
                                                                <w:right w:val="none" w:sz="0" w:space="0" w:color="auto"/>
                                                              </w:divBdr>
                                                              <w:divsChild>
                                                                <w:div w:id="446852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926578">
                                  <w:marLeft w:val="0"/>
                                  <w:marRight w:val="0"/>
                                  <w:marTop w:val="0"/>
                                  <w:marBottom w:val="0"/>
                                  <w:divBdr>
                                    <w:top w:val="none" w:sz="0" w:space="0" w:color="auto"/>
                                    <w:left w:val="none" w:sz="0" w:space="0" w:color="auto"/>
                                    <w:bottom w:val="none" w:sz="0" w:space="0" w:color="auto"/>
                                    <w:right w:val="none" w:sz="0" w:space="0" w:color="auto"/>
                                  </w:divBdr>
                                  <w:divsChild>
                                    <w:div w:id="1680232203">
                                      <w:marLeft w:val="0"/>
                                      <w:marRight w:val="0"/>
                                      <w:marTop w:val="0"/>
                                      <w:marBottom w:val="0"/>
                                      <w:divBdr>
                                        <w:top w:val="none" w:sz="0" w:space="0" w:color="auto"/>
                                        <w:left w:val="none" w:sz="0" w:space="0" w:color="auto"/>
                                        <w:bottom w:val="none" w:sz="0" w:space="0" w:color="auto"/>
                                        <w:right w:val="none" w:sz="0" w:space="0" w:color="auto"/>
                                      </w:divBdr>
                                      <w:divsChild>
                                        <w:div w:id="506991079">
                                          <w:marLeft w:val="0"/>
                                          <w:marRight w:val="0"/>
                                          <w:marTop w:val="0"/>
                                          <w:marBottom w:val="0"/>
                                          <w:divBdr>
                                            <w:top w:val="none" w:sz="0" w:space="0" w:color="auto"/>
                                            <w:left w:val="none" w:sz="0" w:space="0" w:color="auto"/>
                                            <w:bottom w:val="none" w:sz="0" w:space="0" w:color="auto"/>
                                            <w:right w:val="none" w:sz="0" w:space="0" w:color="auto"/>
                                          </w:divBdr>
                                          <w:divsChild>
                                            <w:div w:id="1783914657">
                                              <w:marLeft w:val="0"/>
                                              <w:marRight w:val="0"/>
                                              <w:marTop w:val="0"/>
                                              <w:marBottom w:val="0"/>
                                              <w:divBdr>
                                                <w:top w:val="none" w:sz="0" w:space="0" w:color="auto"/>
                                                <w:left w:val="none" w:sz="0" w:space="0" w:color="auto"/>
                                                <w:bottom w:val="none" w:sz="0" w:space="0" w:color="auto"/>
                                                <w:right w:val="none" w:sz="0" w:space="0" w:color="auto"/>
                                              </w:divBdr>
                                              <w:divsChild>
                                                <w:div w:id="1510605737">
                                                  <w:marLeft w:val="0"/>
                                                  <w:marRight w:val="0"/>
                                                  <w:marTop w:val="0"/>
                                                  <w:marBottom w:val="0"/>
                                                  <w:divBdr>
                                                    <w:top w:val="none" w:sz="0" w:space="0" w:color="auto"/>
                                                    <w:left w:val="none" w:sz="0" w:space="0" w:color="auto"/>
                                                    <w:bottom w:val="none" w:sz="0" w:space="0" w:color="auto"/>
                                                    <w:right w:val="none" w:sz="0" w:space="0" w:color="auto"/>
                                                  </w:divBdr>
                                                  <w:divsChild>
                                                    <w:div w:id="18704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8351771">
      <w:bodyDiv w:val="1"/>
      <w:marLeft w:val="0"/>
      <w:marRight w:val="0"/>
      <w:marTop w:val="0"/>
      <w:marBottom w:val="0"/>
      <w:divBdr>
        <w:top w:val="none" w:sz="0" w:space="0" w:color="auto"/>
        <w:left w:val="none" w:sz="0" w:space="0" w:color="auto"/>
        <w:bottom w:val="none" w:sz="0" w:space="0" w:color="auto"/>
        <w:right w:val="none" w:sz="0" w:space="0" w:color="auto"/>
      </w:divBdr>
      <w:divsChild>
        <w:div w:id="2023318287">
          <w:marLeft w:val="0"/>
          <w:marRight w:val="0"/>
          <w:marTop w:val="0"/>
          <w:marBottom w:val="0"/>
          <w:divBdr>
            <w:top w:val="none" w:sz="0" w:space="0" w:color="auto"/>
            <w:left w:val="none" w:sz="0" w:space="0" w:color="auto"/>
            <w:bottom w:val="none" w:sz="0" w:space="0" w:color="auto"/>
            <w:right w:val="none" w:sz="0" w:space="0" w:color="auto"/>
          </w:divBdr>
          <w:divsChild>
            <w:div w:id="1163205977">
              <w:marLeft w:val="0"/>
              <w:marRight w:val="0"/>
              <w:marTop w:val="0"/>
              <w:marBottom w:val="0"/>
              <w:divBdr>
                <w:top w:val="none" w:sz="0" w:space="0" w:color="auto"/>
                <w:left w:val="none" w:sz="0" w:space="0" w:color="auto"/>
                <w:bottom w:val="none" w:sz="0" w:space="0" w:color="auto"/>
                <w:right w:val="none" w:sz="0" w:space="0" w:color="auto"/>
              </w:divBdr>
              <w:divsChild>
                <w:div w:id="1758593216">
                  <w:marLeft w:val="0"/>
                  <w:marRight w:val="0"/>
                  <w:marTop w:val="0"/>
                  <w:marBottom w:val="0"/>
                  <w:divBdr>
                    <w:top w:val="none" w:sz="0" w:space="0" w:color="auto"/>
                    <w:left w:val="none" w:sz="0" w:space="0" w:color="auto"/>
                    <w:bottom w:val="none" w:sz="0" w:space="0" w:color="auto"/>
                    <w:right w:val="none" w:sz="0" w:space="0" w:color="auto"/>
                  </w:divBdr>
                  <w:divsChild>
                    <w:div w:id="1293754900">
                      <w:marLeft w:val="0"/>
                      <w:marRight w:val="0"/>
                      <w:marTop w:val="0"/>
                      <w:marBottom w:val="0"/>
                      <w:divBdr>
                        <w:top w:val="none" w:sz="0" w:space="0" w:color="auto"/>
                        <w:left w:val="none" w:sz="0" w:space="0" w:color="auto"/>
                        <w:bottom w:val="none" w:sz="0" w:space="0" w:color="auto"/>
                        <w:right w:val="none" w:sz="0" w:space="0" w:color="auto"/>
                      </w:divBdr>
                      <w:divsChild>
                        <w:div w:id="91634898">
                          <w:marLeft w:val="0"/>
                          <w:marRight w:val="0"/>
                          <w:marTop w:val="0"/>
                          <w:marBottom w:val="0"/>
                          <w:divBdr>
                            <w:top w:val="none" w:sz="0" w:space="0" w:color="auto"/>
                            <w:left w:val="none" w:sz="0" w:space="0" w:color="auto"/>
                            <w:bottom w:val="none" w:sz="0" w:space="0" w:color="auto"/>
                            <w:right w:val="none" w:sz="0" w:space="0" w:color="auto"/>
                          </w:divBdr>
                          <w:divsChild>
                            <w:div w:id="1234004456">
                              <w:marLeft w:val="0"/>
                              <w:marRight w:val="0"/>
                              <w:marTop w:val="0"/>
                              <w:marBottom w:val="0"/>
                              <w:divBdr>
                                <w:top w:val="none" w:sz="0" w:space="0" w:color="auto"/>
                                <w:left w:val="none" w:sz="0" w:space="0" w:color="auto"/>
                                <w:bottom w:val="single" w:sz="6" w:space="0" w:color="BEBEBE"/>
                                <w:right w:val="none" w:sz="0" w:space="0" w:color="auto"/>
                              </w:divBdr>
                              <w:divsChild>
                                <w:div w:id="215051595">
                                  <w:marLeft w:val="0"/>
                                  <w:marRight w:val="0"/>
                                  <w:marTop w:val="0"/>
                                  <w:marBottom w:val="0"/>
                                  <w:divBdr>
                                    <w:top w:val="none" w:sz="0" w:space="0" w:color="auto"/>
                                    <w:left w:val="none" w:sz="0" w:space="0" w:color="auto"/>
                                    <w:bottom w:val="none" w:sz="0" w:space="0" w:color="auto"/>
                                    <w:right w:val="none" w:sz="0" w:space="0" w:color="auto"/>
                                  </w:divBdr>
                                  <w:divsChild>
                                    <w:div w:id="788400279">
                                      <w:marLeft w:val="0"/>
                                      <w:marRight w:val="0"/>
                                      <w:marTop w:val="0"/>
                                      <w:marBottom w:val="0"/>
                                      <w:divBdr>
                                        <w:top w:val="none" w:sz="0" w:space="0" w:color="auto"/>
                                        <w:left w:val="none" w:sz="0" w:space="0" w:color="auto"/>
                                        <w:bottom w:val="none" w:sz="0" w:space="0" w:color="auto"/>
                                        <w:right w:val="none" w:sz="0" w:space="0" w:color="auto"/>
                                      </w:divBdr>
                                      <w:divsChild>
                                        <w:div w:id="904493626">
                                          <w:marLeft w:val="0"/>
                                          <w:marRight w:val="0"/>
                                          <w:marTop w:val="0"/>
                                          <w:marBottom w:val="0"/>
                                          <w:divBdr>
                                            <w:top w:val="none" w:sz="0" w:space="0" w:color="auto"/>
                                            <w:left w:val="none" w:sz="0" w:space="0" w:color="auto"/>
                                            <w:bottom w:val="none" w:sz="0" w:space="0" w:color="auto"/>
                                            <w:right w:val="none" w:sz="0" w:space="0" w:color="auto"/>
                                          </w:divBdr>
                                          <w:divsChild>
                                            <w:div w:id="736830001">
                                              <w:marLeft w:val="0"/>
                                              <w:marRight w:val="0"/>
                                              <w:marTop w:val="0"/>
                                              <w:marBottom w:val="0"/>
                                              <w:divBdr>
                                                <w:top w:val="none" w:sz="0" w:space="0" w:color="auto"/>
                                                <w:left w:val="none" w:sz="0" w:space="0" w:color="auto"/>
                                                <w:bottom w:val="none" w:sz="0" w:space="0" w:color="auto"/>
                                                <w:right w:val="none" w:sz="0" w:space="0" w:color="auto"/>
                                              </w:divBdr>
                                              <w:divsChild>
                                                <w:div w:id="617761178">
                                                  <w:marLeft w:val="0"/>
                                                  <w:marRight w:val="0"/>
                                                  <w:marTop w:val="0"/>
                                                  <w:marBottom w:val="0"/>
                                                  <w:divBdr>
                                                    <w:top w:val="none" w:sz="0" w:space="0" w:color="auto"/>
                                                    <w:left w:val="none" w:sz="0" w:space="0" w:color="auto"/>
                                                    <w:bottom w:val="none" w:sz="0" w:space="0" w:color="auto"/>
                                                    <w:right w:val="none" w:sz="0" w:space="0" w:color="auto"/>
                                                  </w:divBdr>
                                                  <w:divsChild>
                                                    <w:div w:id="775295762">
                                                      <w:marLeft w:val="0"/>
                                                      <w:marRight w:val="0"/>
                                                      <w:marTop w:val="0"/>
                                                      <w:marBottom w:val="0"/>
                                                      <w:divBdr>
                                                        <w:top w:val="none" w:sz="0" w:space="0" w:color="auto"/>
                                                        <w:left w:val="none" w:sz="0" w:space="0" w:color="auto"/>
                                                        <w:bottom w:val="none" w:sz="0" w:space="0" w:color="auto"/>
                                                        <w:right w:val="none" w:sz="0" w:space="0" w:color="auto"/>
                                                      </w:divBdr>
                                                      <w:divsChild>
                                                        <w:div w:id="1177890210">
                                                          <w:marLeft w:val="0"/>
                                                          <w:marRight w:val="0"/>
                                                          <w:marTop w:val="0"/>
                                                          <w:marBottom w:val="0"/>
                                                          <w:divBdr>
                                                            <w:top w:val="none" w:sz="0" w:space="0" w:color="auto"/>
                                                            <w:left w:val="none" w:sz="0" w:space="0" w:color="auto"/>
                                                            <w:bottom w:val="none" w:sz="0" w:space="0" w:color="auto"/>
                                                            <w:right w:val="none" w:sz="0" w:space="0" w:color="auto"/>
                                                          </w:divBdr>
                                                          <w:divsChild>
                                                            <w:div w:id="1880848741">
                                                              <w:marLeft w:val="0"/>
                                                              <w:marRight w:val="0"/>
                                                              <w:marTop w:val="0"/>
                                                              <w:marBottom w:val="0"/>
                                                              <w:divBdr>
                                                                <w:top w:val="none" w:sz="0" w:space="0" w:color="auto"/>
                                                                <w:left w:val="none" w:sz="0" w:space="0" w:color="auto"/>
                                                                <w:bottom w:val="none" w:sz="0" w:space="0" w:color="auto"/>
                                                                <w:right w:val="none" w:sz="0" w:space="0" w:color="auto"/>
                                                              </w:divBdr>
                                                              <w:divsChild>
                                                                <w:div w:id="21189801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07863">
                                  <w:marLeft w:val="0"/>
                                  <w:marRight w:val="0"/>
                                  <w:marTop w:val="0"/>
                                  <w:marBottom w:val="0"/>
                                  <w:divBdr>
                                    <w:top w:val="none" w:sz="0" w:space="0" w:color="auto"/>
                                    <w:left w:val="none" w:sz="0" w:space="0" w:color="auto"/>
                                    <w:bottom w:val="none" w:sz="0" w:space="0" w:color="auto"/>
                                    <w:right w:val="none" w:sz="0" w:space="0" w:color="auto"/>
                                  </w:divBdr>
                                  <w:divsChild>
                                    <w:div w:id="920916382">
                                      <w:marLeft w:val="0"/>
                                      <w:marRight w:val="0"/>
                                      <w:marTop w:val="0"/>
                                      <w:marBottom w:val="0"/>
                                      <w:divBdr>
                                        <w:top w:val="none" w:sz="0" w:space="0" w:color="auto"/>
                                        <w:left w:val="none" w:sz="0" w:space="0" w:color="auto"/>
                                        <w:bottom w:val="none" w:sz="0" w:space="0" w:color="auto"/>
                                        <w:right w:val="none" w:sz="0" w:space="0" w:color="auto"/>
                                      </w:divBdr>
                                      <w:divsChild>
                                        <w:div w:id="2139570329">
                                          <w:marLeft w:val="0"/>
                                          <w:marRight w:val="0"/>
                                          <w:marTop w:val="0"/>
                                          <w:marBottom w:val="0"/>
                                          <w:divBdr>
                                            <w:top w:val="none" w:sz="0" w:space="0" w:color="auto"/>
                                            <w:left w:val="none" w:sz="0" w:space="0" w:color="auto"/>
                                            <w:bottom w:val="none" w:sz="0" w:space="0" w:color="auto"/>
                                            <w:right w:val="none" w:sz="0" w:space="0" w:color="auto"/>
                                          </w:divBdr>
                                          <w:divsChild>
                                            <w:div w:id="1750612182">
                                              <w:marLeft w:val="0"/>
                                              <w:marRight w:val="0"/>
                                              <w:marTop w:val="0"/>
                                              <w:marBottom w:val="0"/>
                                              <w:divBdr>
                                                <w:top w:val="none" w:sz="0" w:space="0" w:color="auto"/>
                                                <w:left w:val="none" w:sz="0" w:space="0" w:color="auto"/>
                                                <w:bottom w:val="none" w:sz="0" w:space="0" w:color="auto"/>
                                                <w:right w:val="none" w:sz="0" w:space="0" w:color="auto"/>
                                              </w:divBdr>
                                              <w:divsChild>
                                                <w:div w:id="517811549">
                                                  <w:marLeft w:val="0"/>
                                                  <w:marRight w:val="0"/>
                                                  <w:marTop w:val="0"/>
                                                  <w:marBottom w:val="0"/>
                                                  <w:divBdr>
                                                    <w:top w:val="none" w:sz="0" w:space="0" w:color="auto"/>
                                                    <w:left w:val="none" w:sz="0" w:space="0" w:color="auto"/>
                                                    <w:bottom w:val="none" w:sz="0" w:space="0" w:color="auto"/>
                                                    <w:right w:val="none" w:sz="0" w:space="0" w:color="auto"/>
                                                  </w:divBdr>
                                                  <w:divsChild>
                                                    <w:div w:id="1876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HP\Documents\Changement%20climatique\5%20CNCC\Formation-Att&#233;nuation\gacmo112%20-%20En&#233;rgie%20domestique.xls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Changement%20climatique\5%20CNCC\Formation-Att&#233;nuation\gacmo112%20-%20En&#233;rgie%20domestique.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cuments\Changement%20climatique\5%20CNCC\Formation-Att&#233;nuation\gacmo112%20-%20En&#233;rgie%20domestique.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Comic Sans MS" panose="030F0702030302020204" pitchFamily="66" charset="0"/>
                <a:ea typeface="+mn-ea"/>
                <a:cs typeface="+mn-cs"/>
              </a:defRPr>
            </a:pPr>
            <a:r>
              <a:rPr lang="en-US" sz="800" b="1">
                <a:latin typeface="Comic Sans MS" panose="030F0702030302020204" pitchFamily="66" charset="0"/>
              </a:rPr>
              <a:t>Scénario</a:t>
            </a:r>
            <a:r>
              <a:rPr lang="en-US" sz="800" b="1" baseline="0">
                <a:latin typeface="Comic Sans MS" panose="030F0702030302020204" pitchFamily="66" charset="0"/>
              </a:rPr>
              <a:t> de réference des émissions du sous-secteur  énergies résidentielles </a:t>
            </a:r>
            <a:endParaRPr lang="en-US" sz="800" b="1">
              <a:latin typeface="Comic Sans MS" panose="030F0702030302020204" pitchFamily="66" charset="0"/>
            </a:endParaRPr>
          </a:p>
        </c:rich>
      </c:tx>
      <c:layout>
        <c:manualLayout>
          <c:xMode val="edge"/>
          <c:yMode val="edge"/>
          <c:x val="0.19012489063867019"/>
          <c:y val="3.7037037037037035E-2"/>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Comic Sans MS" panose="030F0702030302020204" pitchFamily="66" charset="0"/>
              <a:ea typeface="+mn-ea"/>
              <a:cs typeface="+mn-cs"/>
            </a:defRPr>
          </a:pPr>
          <a:endParaRPr lang="fr-FR"/>
        </a:p>
      </c:txPr>
    </c:title>
    <c:autoTitleDeleted val="0"/>
    <c:plotArea>
      <c:layout>
        <c:manualLayout>
          <c:layoutTarget val="inner"/>
          <c:xMode val="edge"/>
          <c:yMode val="edge"/>
          <c:x val="0.14402537182852143"/>
          <c:y val="0.14418999708369787"/>
          <c:w val="0.82819685039370083"/>
          <c:h val="0.74691309419655871"/>
        </c:manualLayout>
      </c:layout>
      <c:lineChart>
        <c:grouping val="standard"/>
        <c:varyColors val="0"/>
        <c:ser>
          <c:idx val="0"/>
          <c:order val="0"/>
          <c:tx>
            <c:strRef>
              <c:f>Croissance!$A$128</c:f>
              <c:strCache>
                <c:ptCount val="1"/>
                <c:pt idx="0">
                  <c:v>Ménages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overflow" horzOverflow="overflow" vert="horz" wrap="square" lIns="38100" tIns="19050" rIns="38100" bIns="19050" anchor="t" anchorCtr="1">
                <a:spAutoFit/>
              </a:bodyPr>
              <a:lstStyle/>
              <a:p>
                <a:pPr>
                  <a:defRPr sz="700" b="1" i="0" u="none" strike="noStrike" kern="1200" baseline="0">
                    <a:solidFill>
                      <a:schemeClr val="tx1">
                        <a:lumMod val="75000"/>
                        <a:lumOff val="25000"/>
                      </a:schemeClr>
                    </a:solidFill>
                    <a:latin typeface="Comic Sans MS" panose="030F0702030302020204" pitchFamily="66" charset="0"/>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Croissance!$B$126:$F$127</c:f>
              <c:strCache>
                <c:ptCount val="5"/>
                <c:pt idx="0">
                  <c:v>2020 </c:v>
                </c:pt>
                <c:pt idx="1">
                  <c:v>2025 </c:v>
                </c:pt>
                <c:pt idx="2">
                  <c:v>2030 </c:v>
                </c:pt>
                <c:pt idx="3">
                  <c:v>2035 </c:v>
                </c:pt>
                <c:pt idx="4">
                  <c:v>2050 </c:v>
                </c:pt>
              </c:strCache>
            </c:strRef>
          </c:cat>
          <c:val>
            <c:numRef>
              <c:f>Croissance!$B$128:$F$128</c:f>
              <c:numCache>
                <c:formatCode>General_)</c:formatCode>
                <c:ptCount val="5"/>
                <c:pt idx="0">
                  <c:v>228</c:v>
                </c:pt>
                <c:pt idx="1">
                  <c:v>305</c:v>
                </c:pt>
                <c:pt idx="2">
                  <c:v>408</c:v>
                </c:pt>
                <c:pt idx="3">
                  <c:v>545</c:v>
                </c:pt>
                <c:pt idx="4">
                  <c:v>733</c:v>
                </c:pt>
              </c:numCache>
            </c:numRef>
          </c:val>
          <c:smooth val="0"/>
          <c:extLst>
            <c:ext xmlns:c16="http://schemas.microsoft.com/office/drawing/2014/chart" uri="{C3380CC4-5D6E-409C-BE32-E72D297353CC}">
              <c16:uniqueId val="{00000000-2A92-4492-951E-D39A5ECEA8FE}"/>
            </c:ext>
          </c:extLst>
        </c:ser>
        <c:dLbls>
          <c:showLegendKey val="0"/>
          <c:showVal val="0"/>
          <c:showCatName val="0"/>
          <c:showSerName val="0"/>
          <c:showPercent val="0"/>
          <c:showBubbleSize val="0"/>
        </c:dLbls>
        <c:marker val="1"/>
        <c:smooth val="0"/>
        <c:axId val="1164793519"/>
        <c:axId val="1164803599"/>
      </c:lineChart>
      <c:catAx>
        <c:axId val="116479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mic Sans MS" panose="030F0702030302020204" pitchFamily="66" charset="0"/>
                <a:ea typeface="+mn-ea"/>
                <a:cs typeface="+mn-cs"/>
              </a:defRPr>
            </a:pPr>
            <a:endParaRPr lang="fr-FR"/>
          </a:p>
        </c:txPr>
        <c:crossAx val="1164803599"/>
        <c:crossesAt val="0"/>
        <c:auto val="0"/>
        <c:lblAlgn val="ctr"/>
        <c:lblOffset val="100"/>
        <c:noMultiLvlLbl val="0"/>
      </c:catAx>
      <c:valAx>
        <c:axId val="11648035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0"/>
              <a:lstStyle/>
              <a:p>
                <a:pPr>
                  <a:defRPr sz="800" b="1" i="0" u="none" strike="noStrike" kern="1200" baseline="0">
                    <a:solidFill>
                      <a:schemeClr val="tx1">
                        <a:lumMod val="65000"/>
                        <a:lumOff val="35000"/>
                      </a:schemeClr>
                    </a:solidFill>
                    <a:latin typeface="Comic Sans MS" panose="030F0702030302020204" pitchFamily="66" charset="0"/>
                    <a:ea typeface="+mn-ea"/>
                    <a:cs typeface="+mn-cs"/>
                  </a:defRPr>
                </a:pPr>
                <a:r>
                  <a:rPr lang="fr-FR" sz="800" b="1">
                    <a:latin typeface="Comic Sans MS" panose="030F0702030302020204" pitchFamily="66" charset="0"/>
                  </a:rPr>
                  <a:t>Kt CO2-e</a:t>
                </a:r>
              </a:p>
            </c:rich>
          </c:tx>
          <c:layout>
            <c:manualLayout>
              <c:xMode val="edge"/>
              <c:yMode val="edge"/>
              <c:x val="6.1619835591617041E-3"/>
              <c:y val="0.31359738686510341"/>
            </c:manualLayout>
          </c:layout>
          <c:overlay val="0"/>
          <c:spPr>
            <a:noFill/>
            <a:ln>
              <a:noFill/>
            </a:ln>
            <a:effectLst/>
          </c:spPr>
          <c:txPr>
            <a:bodyPr rot="-5400000" spcFirstLastPara="1" vertOverflow="ellipsis" vert="horz" wrap="square" anchor="ctr" anchorCtr="0"/>
            <a:lstStyle/>
            <a:p>
              <a:pPr>
                <a:defRPr sz="800" b="1" i="0" u="none" strike="noStrike" kern="1200" baseline="0">
                  <a:solidFill>
                    <a:schemeClr val="tx1">
                      <a:lumMod val="65000"/>
                      <a:lumOff val="35000"/>
                    </a:schemeClr>
                  </a:solidFill>
                  <a:latin typeface="Comic Sans MS" panose="030F0702030302020204" pitchFamily="66" charset="0"/>
                  <a:ea typeface="+mn-ea"/>
                  <a:cs typeface="+mn-cs"/>
                </a:defRPr>
              </a:pPr>
              <a:endParaRPr lang="fr-FR"/>
            </a:p>
          </c:txPr>
        </c:title>
        <c:numFmt formatCode="General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omic Sans MS" panose="030F0702030302020204" pitchFamily="66" charset="0"/>
                <a:ea typeface="+mn-ea"/>
                <a:cs typeface="+mn-cs"/>
              </a:defRPr>
            </a:pPr>
            <a:endParaRPr lang="fr-FR"/>
          </a:p>
        </c:txPr>
        <c:crossAx val="1164793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chemeClr val="tx1"/>
                </a:solidFill>
                <a:latin typeface="Comic Sans MS" panose="030F0702030302020204" pitchFamily="66" charset="0"/>
                <a:ea typeface="+mj-ea"/>
                <a:cs typeface="+mj-cs"/>
              </a:defRPr>
            </a:pPr>
            <a:r>
              <a:rPr lang="en-US" sz="1100">
                <a:solidFill>
                  <a:schemeClr val="tx1"/>
                </a:solidFill>
                <a:latin typeface="Comic Sans MS" panose="030F0702030302020204" pitchFamily="66" charset="0"/>
              </a:rPr>
              <a:t>Emissions du sous-secteur énérgies résidentielles</a:t>
            </a: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chemeClr val="tx1"/>
              </a:solidFill>
              <a:latin typeface="Comic Sans MS" panose="030F0702030302020204" pitchFamily="66" charset="0"/>
              <a:ea typeface="+mj-ea"/>
              <a:cs typeface="+mj-cs"/>
            </a:defRPr>
          </a:pPr>
          <a:endParaRPr lang="fr-FR"/>
        </a:p>
      </c:txPr>
    </c:title>
    <c:autoTitleDeleted val="0"/>
    <c:plotArea>
      <c:layout>
        <c:manualLayout>
          <c:layoutTarget val="inner"/>
          <c:xMode val="edge"/>
          <c:yMode val="edge"/>
          <c:x val="0.10590048118985126"/>
          <c:y val="0.25083333333333335"/>
          <c:w val="0.86354396325459315"/>
          <c:h val="0.59233741615631375"/>
        </c:manualLayout>
      </c:layout>
      <c:lineChart>
        <c:grouping val="standard"/>
        <c:varyColors val="0"/>
        <c:ser>
          <c:idx val="0"/>
          <c:order val="0"/>
          <c:tx>
            <c:strRef>
              <c:f>Croissance!$A$139</c:f>
              <c:strCache>
                <c:ptCount val="1"/>
                <c:pt idx="0">
                  <c:v>avec mesures d'atténuation</c:v>
                </c:pt>
              </c:strCache>
            </c:strRef>
          </c:tx>
          <c:spPr>
            <a:ln w="22225" cap="rnd">
              <a:solidFill>
                <a:schemeClr val="accent1"/>
              </a:solidFill>
              <a:round/>
            </a:ln>
            <a:effectLst/>
          </c:spPr>
          <c:marker>
            <c:symbol val="circle"/>
            <c:size val="6"/>
            <c:spPr>
              <a:solidFill>
                <a:schemeClr val="lt1"/>
              </a:solidFill>
              <a:ln w="1587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1" i="1" u="none" strike="noStrike" kern="1200" baseline="0">
                    <a:solidFill>
                      <a:schemeClr val="accent1"/>
                    </a:solidFill>
                    <a:latin typeface="Comic Sans MS" panose="030F0702030302020204" pitchFamily="66" charset="0"/>
                    <a:ea typeface="+mn-ea"/>
                    <a:cs typeface="+mn-cs"/>
                  </a:defRPr>
                </a:pPr>
                <a:endParaRPr lang="fr-F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Croissance!$B$138:$F$138</c:f>
              <c:numCache>
                <c:formatCode>General_)</c:formatCode>
                <c:ptCount val="5"/>
                <c:pt idx="0">
                  <c:v>2020</c:v>
                </c:pt>
                <c:pt idx="1">
                  <c:v>2025</c:v>
                </c:pt>
                <c:pt idx="2">
                  <c:v>2030</c:v>
                </c:pt>
                <c:pt idx="3">
                  <c:v>2035</c:v>
                </c:pt>
                <c:pt idx="4">
                  <c:v>2050</c:v>
                </c:pt>
              </c:numCache>
            </c:numRef>
          </c:cat>
          <c:val>
            <c:numRef>
              <c:f>Croissance!$B$139:$F$139</c:f>
              <c:numCache>
                <c:formatCode>General_)</c:formatCode>
                <c:ptCount val="5"/>
                <c:pt idx="0">
                  <c:v>228</c:v>
                </c:pt>
                <c:pt idx="1">
                  <c:v>291</c:v>
                </c:pt>
                <c:pt idx="2">
                  <c:v>-274</c:v>
                </c:pt>
                <c:pt idx="3">
                  <c:v>-333</c:v>
                </c:pt>
                <c:pt idx="4">
                  <c:v>-723</c:v>
                </c:pt>
              </c:numCache>
            </c:numRef>
          </c:val>
          <c:smooth val="0"/>
          <c:extLst>
            <c:ext xmlns:c16="http://schemas.microsoft.com/office/drawing/2014/chart" uri="{C3380CC4-5D6E-409C-BE32-E72D297353CC}">
              <c16:uniqueId val="{00000000-71A6-4766-9E93-F80AA308664A}"/>
            </c:ext>
          </c:extLst>
        </c:ser>
        <c:ser>
          <c:idx val="1"/>
          <c:order val="1"/>
          <c:tx>
            <c:strRef>
              <c:f>Croissance!$A$140</c:f>
              <c:strCache>
                <c:ptCount val="1"/>
                <c:pt idx="0">
                  <c:v>sans mesures d'atténuation </c:v>
                </c:pt>
              </c:strCache>
            </c:strRef>
          </c:tx>
          <c:spPr>
            <a:ln w="22225" cap="rnd">
              <a:solidFill>
                <a:schemeClr val="accent2"/>
              </a:solidFill>
              <a:round/>
            </a:ln>
            <a:effectLst/>
          </c:spPr>
          <c:marker>
            <c:symbol val="circle"/>
            <c:size val="6"/>
            <c:spPr>
              <a:solidFill>
                <a:schemeClr val="accent1"/>
              </a:solidFill>
              <a:ln w="1587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rgbClr val="FF0000"/>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Croissance!$B$138:$F$138</c:f>
              <c:numCache>
                <c:formatCode>General_)</c:formatCode>
                <c:ptCount val="5"/>
                <c:pt idx="0">
                  <c:v>2020</c:v>
                </c:pt>
                <c:pt idx="1">
                  <c:v>2025</c:v>
                </c:pt>
                <c:pt idx="2">
                  <c:v>2030</c:v>
                </c:pt>
                <c:pt idx="3">
                  <c:v>2035</c:v>
                </c:pt>
                <c:pt idx="4">
                  <c:v>2050</c:v>
                </c:pt>
              </c:numCache>
            </c:numRef>
          </c:cat>
          <c:val>
            <c:numRef>
              <c:f>Croissance!$B$140:$F$140</c:f>
              <c:numCache>
                <c:formatCode>General_)</c:formatCode>
                <c:ptCount val="5"/>
                <c:pt idx="0">
                  <c:v>228</c:v>
                </c:pt>
                <c:pt idx="1">
                  <c:v>305</c:v>
                </c:pt>
                <c:pt idx="2">
                  <c:v>408</c:v>
                </c:pt>
                <c:pt idx="3">
                  <c:v>545</c:v>
                </c:pt>
                <c:pt idx="4">
                  <c:v>733</c:v>
                </c:pt>
              </c:numCache>
            </c:numRef>
          </c:val>
          <c:smooth val="0"/>
          <c:extLst>
            <c:ext xmlns:c16="http://schemas.microsoft.com/office/drawing/2014/chart" uri="{C3380CC4-5D6E-409C-BE32-E72D297353CC}">
              <c16:uniqueId val="{00000001-71A6-4766-9E93-F80AA308664A}"/>
            </c:ext>
          </c:extLst>
        </c:ser>
        <c:dLbls>
          <c:dLblPos val="ctr"/>
          <c:showLegendKey val="0"/>
          <c:showVal val="1"/>
          <c:showCatName val="0"/>
          <c:showSerName val="0"/>
          <c:showPercent val="0"/>
          <c:showBubbleSize val="0"/>
        </c:dLbls>
        <c:marker val="1"/>
        <c:smooth val="0"/>
        <c:axId val="216702207"/>
        <c:axId val="216701247"/>
      </c:lineChart>
      <c:catAx>
        <c:axId val="216702207"/>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dk1">
                    <a:lumMod val="65000"/>
                    <a:lumOff val="35000"/>
                  </a:schemeClr>
                </a:solidFill>
                <a:latin typeface="+mn-lt"/>
                <a:ea typeface="+mn-ea"/>
                <a:cs typeface="+mn-cs"/>
              </a:defRPr>
            </a:pPr>
            <a:endParaRPr lang="fr-FR"/>
          </a:p>
        </c:txPr>
        <c:crossAx val="216701247"/>
        <c:crosses val="autoZero"/>
        <c:auto val="1"/>
        <c:lblAlgn val="ctr"/>
        <c:lblOffset val="100"/>
        <c:noMultiLvlLbl val="0"/>
      </c:catAx>
      <c:valAx>
        <c:axId val="216701247"/>
        <c:scaling>
          <c:orientation val="minMax"/>
          <c:max val="800"/>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fr-FR"/>
                  <a:t>kt C0é-e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fr-FR"/>
            </a:p>
          </c:txPr>
        </c:title>
        <c:numFmt formatCode="General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216702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dk1">
                  <a:lumMod val="65000"/>
                  <a:lumOff val="35000"/>
                </a:schemeClr>
              </a:solidFill>
              <a:latin typeface="Comic Sans MS" panose="030F0702030302020204" pitchFamily="66"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B91AF-B356-4333-85BC-5C06802B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14903</TotalTime>
  <Pages>1</Pages>
  <Words>4830</Words>
  <Characters>26571</Characters>
  <Application>Microsoft Office Word</Application>
  <DocSecurity>0</DocSecurity>
  <Lines>221</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Ethmane</cp:lastModifiedBy>
  <cp:revision>533</cp:revision>
  <dcterms:created xsi:type="dcterms:W3CDTF">2013-09-09T19:45:00Z</dcterms:created>
  <dcterms:modified xsi:type="dcterms:W3CDTF">2024-05-18T15:19:00Z</dcterms:modified>
</cp:coreProperties>
</file>