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75A34E" w14:textId="77777777" w:rsidR="00F27423" w:rsidRPr="00915B33" w:rsidRDefault="00CA188C">
      <w:pPr>
        <w:pStyle w:val="NormalWeb"/>
        <w:jc w:val="both"/>
        <w:rPr>
          <w:color w:val="000000" w:themeColor="text1"/>
        </w:rPr>
      </w:pPr>
      <w:r w:rsidRPr="00915B33">
        <w:rPr>
          <w:noProof/>
          <w:color w:val="000000" w:themeColor="text1"/>
          <w:lang w:val="fr-CA" w:eastAsia="fr-CA"/>
        </w:rPr>
        <w:drawing>
          <wp:anchor distT="0" distB="0" distL="114300" distR="114300" simplePos="0" relativeHeight="251657728" behindDoc="0" locked="0" layoutInCell="1" allowOverlap="1" wp14:anchorId="20473D50" wp14:editId="6807DC15">
            <wp:simplePos x="0" y="0"/>
            <wp:positionH relativeFrom="column">
              <wp:posOffset>2510155</wp:posOffset>
            </wp:positionH>
            <wp:positionV relativeFrom="paragraph">
              <wp:posOffset>-271145</wp:posOffset>
            </wp:positionV>
            <wp:extent cx="932180" cy="923290"/>
            <wp:effectExtent l="1905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32180" cy="923290"/>
                    </a:xfrm>
                    <a:prstGeom prst="rect">
                      <a:avLst/>
                    </a:prstGeom>
                    <a:solidFill>
                      <a:srgbClr val="FFFFFF"/>
                    </a:solidFill>
                    <a:ln w="9525">
                      <a:noFill/>
                      <a:miter lim="800000"/>
                      <a:headEnd/>
                      <a:tailEnd/>
                    </a:ln>
                  </pic:spPr>
                </pic:pic>
              </a:graphicData>
            </a:graphic>
          </wp:anchor>
        </w:drawing>
      </w:r>
    </w:p>
    <w:p w14:paraId="7E06A167" w14:textId="77777777" w:rsidR="00F27423" w:rsidRPr="00915B33" w:rsidRDefault="00F27423">
      <w:pPr>
        <w:jc w:val="center"/>
        <w:rPr>
          <w:rFonts w:ascii="Times New Roman" w:hAnsi="Times New Roman" w:cs="Times New Roman"/>
          <w:b/>
          <w:color w:val="000000" w:themeColor="text1"/>
        </w:rPr>
      </w:pPr>
      <w:r w:rsidRPr="00915B33">
        <w:rPr>
          <w:rFonts w:ascii="Times New Roman" w:hAnsi="Times New Roman" w:cs="Times New Roman"/>
          <w:b/>
          <w:color w:val="000000" w:themeColor="text1"/>
        </w:rPr>
        <w:t>REPUBLIQUE ISLAMIQUE DE MAURITANIE</w:t>
      </w:r>
    </w:p>
    <w:p w14:paraId="5F6AE3DA" w14:textId="77777777" w:rsidR="00F27423" w:rsidRPr="00915B33" w:rsidRDefault="00F27423">
      <w:pPr>
        <w:jc w:val="center"/>
        <w:rPr>
          <w:rFonts w:ascii="Times New Roman" w:hAnsi="Times New Roman" w:cs="Times New Roman"/>
          <w:color w:val="000000" w:themeColor="text1"/>
        </w:rPr>
      </w:pPr>
      <w:r w:rsidRPr="00915B33">
        <w:rPr>
          <w:rFonts w:ascii="Times New Roman" w:hAnsi="Times New Roman" w:cs="Times New Roman"/>
          <w:b/>
          <w:color w:val="000000" w:themeColor="text1"/>
        </w:rPr>
        <w:t>Honneur – Fraternité – Justice</w:t>
      </w:r>
    </w:p>
    <w:p w14:paraId="22B410B7" w14:textId="77777777" w:rsidR="00F27423" w:rsidRPr="00915B33" w:rsidRDefault="00F27423">
      <w:pPr>
        <w:jc w:val="center"/>
        <w:rPr>
          <w:rFonts w:ascii="Times New Roman" w:hAnsi="Times New Roman" w:cs="Times New Roman"/>
          <w:b/>
          <w:color w:val="000000" w:themeColor="text1"/>
        </w:rPr>
      </w:pPr>
      <w:r w:rsidRPr="00915B33">
        <w:rPr>
          <w:rFonts w:ascii="Times New Roman" w:hAnsi="Times New Roman" w:cs="Times New Roman"/>
          <w:color w:val="000000" w:themeColor="text1"/>
        </w:rPr>
        <w:t>---</w:t>
      </w:r>
    </w:p>
    <w:p w14:paraId="70F2133F" w14:textId="77777777" w:rsidR="00F27423" w:rsidRPr="00915B33" w:rsidRDefault="00F27423">
      <w:pPr>
        <w:pStyle w:val="NormalWeb"/>
        <w:spacing w:before="280"/>
        <w:jc w:val="center"/>
        <w:rPr>
          <w:b/>
          <w:color w:val="000000" w:themeColor="text1"/>
        </w:rPr>
      </w:pPr>
      <w:r w:rsidRPr="00915B33">
        <w:rPr>
          <w:b/>
          <w:color w:val="000000" w:themeColor="text1"/>
        </w:rPr>
        <w:t>MINISTERE DE L’ENVIRONNEMENT ET DU DEVELOPPEMENT DURABLE</w:t>
      </w:r>
    </w:p>
    <w:p w14:paraId="11D93EC4" w14:textId="3D0DD616" w:rsidR="00F27423" w:rsidRPr="00915B33" w:rsidRDefault="00371814">
      <w:pPr>
        <w:pStyle w:val="NormalWeb"/>
        <w:spacing w:before="280"/>
        <w:jc w:val="center"/>
        <w:rPr>
          <w:b/>
          <w:color w:val="000000" w:themeColor="text1"/>
        </w:rPr>
      </w:pPr>
      <w:r w:rsidRPr="00915B33">
        <w:rPr>
          <w:b/>
          <w:color w:val="000000" w:themeColor="text1"/>
        </w:rPr>
        <w:t>Cellule de</w:t>
      </w:r>
      <w:r w:rsidR="00894C92" w:rsidRPr="00915B33">
        <w:rPr>
          <w:b/>
          <w:color w:val="000000" w:themeColor="text1"/>
        </w:rPr>
        <w:t xml:space="preserve"> </w:t>
      </w:r>
      <w:r w:rsidRPr="00915B33">
        <w:rPr>
          <w:b/>
          <w:color w:val="000000" w:themeColor="text1"/>
        </w:rPr>
        <w:t>Coordination du</w:t>
      </w:r>
      <w:r w:rsidR="00894C92" w:rsidRPr="00915B33">
        <w:rPr>
          <w:b/>
          <w:color w:val="000000" w:themeColor="text1"/>
        </w:rPr>
        <w:t xml:space="preserve"> Programme national de lutte contre le Changement climatique </w:t>
      </w:r>
      <w:r w:rsidR="00F27423" w:rsidRPr="00915B33">
        <w:rPr>
          <w:b/>
          <w:color w:val="000000" w:themeColor="text1"/>
        </w:rPr>
        <w:t>(CCPNCC)</w:t>
      </w:r>
    </w:p>
    <w:p w14:paraId="5649A7D0" w14:textId="77777777" w:rsidR="00A86570" w:rsidRPr="00915B33" w:rsidRDefault="00A86570">
      <w:pPr>
        <w:pStyle w:val="NormalWeb"/>
        <w:spacing w:before="280"/>
        <w:jc w:val="center"/>
        <w:rPr>
          <w:b/>
          <w:color w:val="000000" w:themeColor="text1"/>
        </w:rPr>
      </w:pPr>
    </w:p>
    <w:p w14:paraId="62B7C2C2" w14:textId="77777777" w:rsidR="00F27423" w:rsidRPr="00915B33" w:rsidRDefault="00F27423">
      <w:pPr>
        <w:pStyle w:val="NormalWeb"/>
        <w:jc w:val="center"/>
        <w:rPr>
          <w:b/>
          <w:color w:val="000000" w:themeColor="text1"/>
        </w:rPr>
      </w:pPr>
      <w:r w:rsidRPr="00915B33">
        <w:rPr>
          <w:b/>
          <w:color w:val="000000" w:themeColor="text1"/>
        </w:rPr>
        <w:t>---</w:t>
      </w:r>
    </w:p>
    <w:p w14:paraId="3EB77168" w14:textId="77777777" w:rsidR="00A10D53" w:rsidRPr="00915B33" w:rsidRDefault="00BC061C" w:rsidP="00342E19">
      <w:pPr>
        <w:pStyle w:val="NormalWeb"/>
        <w:spacing w:before="280"/>
        <w:jc w:val="center"/>
        <w:rPr>
          <w:rFonts w:ascii="inherit" w:hAnsi="inherit"/>
          <w:b/>
          <w:bCs/>
          <w:color w:val="000000" w:themeColor="text1"/>
          <w:sz w:val="38"/>
          <w:szCs w:val="38"/>
          <w:shd w:val="clear" w:color="auto" w:fill="FFFFFF"/>
        </w:rPr>
      </w:pPr>
      <w:r w:rsidRPr="00915B33">
        <w:rPr>
          <w:rFonts w:ascii="inherit" w:hAnsi="inherit"/>
          <w:b/>
          <w:bCs/>
          <w:color w:val="000000" w:themeColor="text1"/>
          <w:sz w:val="38"/>
          <w:szCs w:val="38"/>
          <w:shd w:val="clear" w:color="auto" w:fill="FFFFFF"/>
        </w:rPr>
        <w:t>COMMUNICATION NATIONALE N5</w:t>
      </w:r>
    </w:p>
    <w:p w14:paraId="1E866FF6" w14:textId="77777777" w:rsidR="00A86570" w:rsidRPr="00915B33" w:rsidRDefault="00A86570" w:rsidP="00342E19">
      <w:pPr>
        <w:pStyle w:val="NormalWeb"/>
        <w:spacing w:before="280"/>
        <w:jc w:val="center"/>
        <w:rPr>
          <w:rFonts w:ascii="inherit" w:hAnsi="inherit"/>
          <w:b/>
          <w:bCs/>
          <w:color w:val="000000" w:themeColor="text1"/>
          <w:sz w:val="38"/>
          <w:szCs w:val="38"/>
          <w:shd w:val="clear" w:color="auto" w:fill="FFFFFF"/>
        </w:rPr>
      </w:pPr>
    </w:p>
    <w:p w14:paraId="2681E74B" w14:textId="77777777" w:rsidR="00A86570" w:rsidRPr="00915B33" w:rsidRDefault="00A86570" w:rsidP="00342E19">
      <w:pPr>
        <w:pStyle w:val="NormalWeb"/>
        <w:spacing w:before="280"/>
        <w:jc w:val="center"/>
        <w:rPr>
          <w:rFonts w:ascii="inherit" w:hAnsi="inherit"/>
          <w:b/>
          <w:bCs/>
          <w:color w:val="000000" w:themeColor="text1"/>
          <w:sz w:val="38"/>
          <w:szCs w:val="38"/>
          <w:shd w:val="clear" w:color="auto" w:fill="FFFFFF"/>
        </w:rPr>
      </w:pPr>
    </w:p>
    <w:p w14:paraId="6092E131" w14:textId="29DED5C4" w:rsidR="00BC061C" w:rsidRPr="00915B33" w:rsidRDefault="00A86570" w:rsidP="00342E19">
      <w:pPr>
        <w:pStyle w:val="NormalWeb"/>
        <w:spacing w:before="280"/>
        <w:jc w:val="center"/>
        <w:rPr>
          <w:b/>
          <w:color w:val="000000" w:themeColor="text1"/>
          <w:sz w:val="28"/>
          <w:szCs w:val="28"/>
        </w:rPr>
      </w:pPr>
      <w:r w:rsidRPr="00915B33">
        <w:rPr>
          <w:rFonts w:ascii="inherit" w:hAnsi="inherit"/>
          <w:b/>
          <w:bCs/>
          <w:color w:val="000000" w:themeColor="text1"/>
          <w:sz w:val="28"/>
          <w:szCs w:val="28"/>
          <w:shd w:val="clear" w:color="auto" w:fill="FFFFFF"/>
        </w:rPr>
        <w:t>SECTEUR</w:t>
      </w:r>
    </w:p>
    <w:p w14:paraId="7DD5F06F" w14:textId="77777777" w:rsidR="00F27423" w:rsidRPr="00915B33" w:rsidRDefault="00A10D53" w:rsidP="00342E19">
      <w:pPr>
        <w:pStyle w:val="NormalWeb"/>
        <w:spacing w:before="280"/>
        <w:jc w:val="center"/>
        <w:rPr>
          <w:b/>
          <w:color w:val="000000" w:themeColor="text1"/>
        </w:rPr>
      </w:pPr>
      <w:r w:rsidRPr="00915B33">
        <w:rPr>
          <w:b/>
          <w:color w:val="000000" w:themeColor="text1"/>
          <w:sz w:val="28"/>
          <w:szCs w:val="28"/>
        </w:rPr>
        <w:t xml:space="preserve">PROCEDES INDUSTRIELS </w:t>
      </w:r>
      <w:r w:rsidR="00A86570" w:rsidRPr="00915B33">
        <w:rPr>
          <w:b/>
          <w:color w:val="000000" w:themeColor="text1"/>
          <w:sz w:val="28"/>
          <w:szCs w:val="28"/>
        </w:rPr>
        <w:t xml:space="preserve">ET </w:t>
      </w:r>
      <w:r w:rsidRPr="00915B33">
        <w:rPr>
          <w:b/>
          <w:color w:val="000000" w:themeColor="text1"/>
          <w:sz w:val="28"/>
          <w:szCs w:val="28"/>
        </w:rPr>
        <w:t>UTILISATION DES PRODUITS (PIUP)</w:t>
      </w:r>
    </w:p>
    <w:p w14:paraId="1375D826" w14:textId="77777777" w:rsidR="00F27423" w:rsidRPr="00915B33" w:rsidRDefault="00F27423">
      <w:pPr>
        <w:pStyle w:val="NormalWeb"/>
        <w:jc w:val="center"/>
        <w:rPr>
          <w:b/>
          <w:color w:val="000000" w:themeColor="text1"/>
          <w:sz w:val="28"/>
          <w:szCs w:val="28"/>
        </w:rPr>
      </w:pPr>
      <w:r w:rsidRPr="00915B33">
        <w:rPr>
          <w:b/>
          <w:color w:val="000000" w:themeColor="text1"/>
        </w:rPr>
        <w:t>---</w:t>
      </w:r>
    </w:p>
    <w:p w14:paraId="2AF1ED2B" w14:textId="77777777" w:rsidR="00F27423" w:rsidRPr="00915B33" w:rsidRDefault="00F27423">
      <w:pPr>
        <w:pStyle w:val="NormalWeb"/>
        <w:jc w:val="center"/>
        <w:rPr>
          <w:color w:val="000000" w:themeColor="text1"/>
        </w:rPr>
      </w:pPr>
    </w:p>
    <w:p w14:paraId="1E24496A" w14:textId="77777777" w:rsidR="00F27423" w:rsidRPr="00915B33" w:rsidRDefault="00F27423">
      <w:pPr>
        <w:jc w:val="center"/>
        <w:rPr>
          <w:rFonts w:ascii="Times New Roman" w:hAnsi="Times New Roman" w:cs="Times New Roman"/>
          <w:color w:val="000000" w:themeColor="text1"/>
        </w:rPr>
      </w:pPr>
      <w:r w:rsidRPr="00915B33">
        <w:rPr>
          <w:rFonts w:ascii="Times New Roman" w:hAnsi="Times New Roman" w:cs="Times New Roman"/>
          <w:color w:val="000000" w:themeColor="text1"/>
        </w:rPr>
        <w:t xml:space="preserve">RAPPORT </w:t>
      </w:r>
    </w:p>
    <w:p w14:paraId="71212339" w14:textId="77777777" w:rsidR="00A86570" w:rsidRPr="00915B33" w:rsidRDefault="00A86570">
      <w:pPr>
        <w:jc w:val="center"/>
        <w:rPr>
          <w:rFonts w:ascii="Times New Roman" w:hAnsi="Times New Roman" w:cs="Times New Roman"/>
          <w:color w:val="000000" w:themeColor="text1"/>
          <w:sz w:val="20"/>
          <w:szCs w:val="20"/>
        </w:rPr>
      </w:pPr>
    </w:p>
    <w:p w14:paraId="1F5138FF" w14:textId="77777777" w:rsidR="00F27423" w:rsidRPr="00915B33" w:rsidRDefault="00F27423">
      <w:pPr>
        <w:pStyle w:val="NormalWeb"/>
        <w:jc w:val="center"/>
        <w:rPr>
          <w:b/>
          <w:color w:val="000000" w:themeColor="text1"/>
        </w:rPr>
      </w:pPr>
    </w:p>
    <w:p w14:paraId="0A0448B6" w14:textId="77777777" w:rsidR="00F27423" w:rsidRPr="00915B33" w:rsidRDefault="00F27423">
      <w:pPr>
        <w:pStyle w:val="NormalWeb"/>
        <w:jc w:val="center"/>
        <w:rPr>
          <w:b/>
          <w:color w:val="000000" w:themeColor="text1"/>
          <w:sz w:val="28"/>
          <w:szCs w:val="28"/>
          <w:u w:val="single"/>
        </w:rPr>
      </w:pPr>
      <w:r w:rsidRPr="00915B33">
        <w:rPr>
          <w:b/>
          <w:color w:val="000000" w:themeColor="text1"/>
        </w:rPr>
        <w:t>J</w:t>
      </w:r>
      <w:r w:rsidR="008213C9" w:rsidRPr="00915B33">
        <w:rPr>
          <w:b/>
          <w:color w:val="000000" w:themeColor="text1"/>
        </w:rPr>
        <w:t xml:space="preserve">anvier </w:t>
      </w:r>
      <w:r w:rsidRPr="00915B33">
        <w:rPr>
          <w:b/>
          <w:color w:val="000000" w:themeColor="text1"/>
        </w:rPr>
        <w:t>20</w:t>
      </w:r>
      <w:r w:rsidR="00BC061C" w:rsidRPr="00915B33">
        <w:rPr>
          <w:b/>
          <w:color w:val="000000" w:themeColor="text1"/>
        </w:rPr>
        <w:t>24</w:t>
      </w:r>
    </w:p>
    <w:p w14:paraId="616618D3" w14:textId="79DA711E" w:rsidR="00F27423" w:rsidRDefault="00F27423">
      <w:pPr>
        <w:spacing w:line="240" w:lineRule="auto"/>
        <w:ind w:left="113" w:right="113"/>
        <w:rPr>
          <w:rFonts w:ascii="Times New Roman" w:hAnsi="Times New Roman" w:cs="Times New Roman"/>
          <w:b/>
          <w:color w:val="000000" w:themeColor="text1"/>
        </w:rPr>
      </w:pPr>
    </w:p>
    <w:p w14:paraId="4C329431" w14:textId="4B6C0539" w:rsidR="00D57578" w:rsidRDefault="00D57578">
      <w:pPr>
        <w:spacing w:line="240" w:lineRule="auto"/>
        <w:ind w:left="113" w:right="113"/>
        <w:rPr>
          <w:rFonts w:ascii="Times New Roman" w:hAnsi="Times New Roman" w:cs="Times New Roman"/>
          <w:b/>
          <w:color w:val="000000" w:themeColor="text1"/>
        </w:rPr>
      </w:pPr>
    </w:p>
    <w:p w14:paraId="0A114B5B" w14:textId="548487E5" w:rsidR="00D57578" w:rsidRDefault="00D57578">
      <w:pPr>
        <w:spacing w:line="240" w:lineRule="auto"/>
        <w:ind w:left="113" w:right="113"/>
        <w:rPr>
          <w:rFonts w:ascii="Times New Roman" w:hAnsi="Times New Roman" w:cs="Times New Roman"/>
          <w:b/>
          <w:color w:val="000000" w:themeColor="text1"/>
        </w:rPr>
      </w:pPr>
    </w:p>
    <w:p w14:paraId="7B5E51FA" w14:textId="6C7BD256" w:rsidR="00D57578" w:rsidRDefault="00D57578">
      <w:pPr>
        <w:spacing w:line="240" w:lineRule="auto"/>
        <w:ind w:left="113" w:right="113"/>
        <w:rPr>
          <w:rFonts w:ascii="Times New Roman" w:hAnsi="Times New Roman" w:cs="Times New Roman"/>
          <w:b/>
          <w:color w:val="000000" w:themeColor="text1"/>
        </w:rPr>
      </w:pPr>
    </w:p>
    <w:p w14:paraId="65412A72" w14:textId="77777777" w:rsidR="00D57578" w:rsidRPr="00915B33" w:rsidRDefault="00D57578">
      <w:pPr>
        <w:spacing w:line="240" w:lineRule="auto"/>
        <w:ind w:left="113" w:right="113"/>
        <w:rPr>
          <w:rFonts w:ascii="Times New Roman" w:hAnsi="Times New Roman" w:cs="Times New Roman"/>
          <w:b/>
          <w:color w:val="000000" w:themeColor="text1"/>
        </w:rPr>
      </w:pPr>
    </w:p>
    <w:sdt>
      <w:sdtPr>
        <w:rPr>
          <w:lang w:val="fr-FR"/>
        </w:rPr>
        <w:id w:val="-1701927357"/>
        <w:docPartObj>
          <w:docPartGallery w:val="Table of Contents"/>
          <w:docPartUnique/>
        </w:docPartObj>
      </w:sdtPr>
      <w:sdtEndPr>
        <w:rPr>
          <w:rFonts w:ascii="Calibri" w:eastAsia="Droid Sans Fallback" w:hAnsi="Calibri" w:cs="font275"/>
          <w:b/>
          <w:bCs/>
          <w:color w:val="auto"/>
          <w:kern w:val="1"/>
          <w:sz w:val="22"/>
          <w:szCs w:val="22"/>
          <w:lang w:eastAsia="en-US"/>
        </w:rPr>
      </w:sdtEndPr>
      <w:sdtContent>
        <w:p w14:paraId="3481A9C3" w14:textId="1B094278" w:rsidR="00BC2557" w:rsidRDefault="00BC2557">
          <w:pPr>
            <w:pStyle w:val="En-ttedetabledesmatires"/>
          </w:pPr>
          <w:r>
            <w:rPr>
              <w:lang w:val="fr-FR"/>
            </w:rPr>
            <w:t>Table des matières</w:t>
          </w:r>
        </w:p>
        <w:p w14:paraId="25FE4FA6" w14:textId="3C768417" w:rsidR="00D57578" w:rsidRDefault="00BC2557">
          <w:pPr>
            <w:pStyle w:val="TM1"/>
            <w:rPr>
              <w:rFonts w:asciiTheme="minorHAnsi" w:eastAsiaTheme="minorEastAsia" w:hAnsiTheme="minorHAnsi" w:cstheme="minorBidi"/>
              <w:noProof/>
              <w:kern w:val="0"/>
              <w:sz w:val="22"/>
              <w:szCs w:val="22"/>
              <w:lang w:eastAsia="fr-CA"/>
            </w:rPr>
          </w:pPr>
          <w:r>
            <w:fldChar w:fldCharType="begin"/>
          </w:r>
          <w:r>
            <w:instrText xml:space="preserve"> TOC \o "1-3" \h \z \u </w:instrText>
          </w:r>
          <w:r>
            <w:fldChar w:fldCharType="separate"/>
          </w:r>
          <w:hyperlink w:anchor="_Toc157935456" w:history="1">
            <w:r w:rsidR="00D57578" w:rsidRPr="008C38D6">
              <w:rPr>
                <w:rStyle w:val="Lienhypertexte"/>
                <w:noProof/>
              </w:rPr>
              <w:t>I.</w:t>
            </w:r>
            <w:r w:rsidR="00D57578">
              <w:rPr>
                <w:rFonts w:asciiTheme="minorHAnsi" w:eastAsiaTheme="minorEastAsia" w:hAnsiTheme="minorHAnsi" w:cstheme="minorBidi"/>
                <w:noProof/>
                <w:kern w:val="0"/>
                <w:sz w:val="22"/>
                <w:szCs w:val="22"/>
                <w:lang w:eastAsia="fr-CA"/>
              </w:rPr>
              <w:tab/>
            </w:r>
            <w:r w:rsidR="00D57578" w:rsidRPr="008C38D6">
              <w:rPr>
                <w:rStyle w:val="Lienhypertexte"/>
                <w:noProof/>
              </w:rPr>
              <w:t>LISTE DES ACRONYMES</w:t>
            </w:r>
            <w:r w:rsidR="00D57578">
              <w:rPr>
                <w:noProof/>
                <w:webHidden/>
              </w:rPr>
              <w:tab/>
            </w:r>
            <w:r w:rsidR="00D57578">
              <w:rPr>
                <w:noProof/>
                <w:webHidden/>
              </w:rPr>
              <w:fldChar w:fldCharType="begin"/>
            </w:r>
            <w:r w:rsidR="00D57578">
              <w:rPr>
                <w:noProof/>
                <w:webHidden/>
              </w:rPr>
              <w:instrText xml:space="preserve"> PAGEREF _Toc157935456 \h </w:instrText>
            </w:r>
            <w:r w:rsidR="00D57578">
              <w:rPr>
                <w:noProof/>
                <w:webHidden/>
              </w:rPr>
            </w:r>
            <w:r w:rsidR="00D57578">
              <w:rPr>
                <w:noProof/>
                <w:webHidden/>
              </w:rPr>
              <w:fldChar w:fldCharType="separate"/>
            </w:r>
            <w:r w:rsidR="00415608">
              <w:rPr>
                <w:noProof/>
                <w:webHidden/>
              </w:rPr>
              <w:t>4</w:t>
            </w:r>
            <w:r w:rsidR="00D57578">
              <w:rPr>
                <w:noProof/>
                <w:webHidden/>
              </w:rPr>
              <w:fldChar w:fldCharType="end"/>
            </w:r>
          </w:hyperlink>
        </w:p>
        <w:p w14:paraId="28425E9C" w14:textId="5A87922A" w:rsidR="00D57578" w:rsidRDefault="00D57578">
          <w:pPr>
            <w:pStyle w:val="TM1"/>
            <w:rPr>
              <w:rFonts w:asciiTheme="minorHAnsi" w:eastAsiaTheme="minorEastAsia" w:hAnsiTheme="minorHAnsi" w:cstheme="minorBidi"/>
              <w:noProof/>
              <w:kern w:val="0"/>
              <w:sz w:val="22"/>
              <w:szCs w:val="22"/>
              <w:lang w:eastAsia="fr-CA"/>
            </w:rPr>
          </w:pPr>
          <w:hyperlink w:anchor="_Toc157935457" w:history="1">
            <w:r w:rsidRPr="008C38D6">
              <w:rPr>
                <w:rStyle w:val="Lienhypertexte"/>
                <w:noProof/>
              </w:rPr>
              <w:t>II.</w:t>
            </w:r>
            <w:r>
              <w:rPr>
                <w:rFonts w:asciiTheme="minorHAnsi" w:eastAsiaTheme="minorEastAsia" w:hAnsiTheme="minorHAnsi" w:cstheme="minorBidi"/>
                <w:noProof/>
                <w:kern w:val="0"/>
                <w:sz w:val="22"/>
                <w:szCs w:val="22"/>
                <w:lang w:eastAsia="fr-CA"/>
              </w:rPr>
              <w:tab/>
            </w:r>
            <w:r w:rsidRPr="008C38D6">
              <w:rPr>
                <w:rStyle w:val="Lienhypertexte"/>
                <w:noProof/>
              </w:rPr>
              <w:t>LISTE DES TABLEAUX</w:t>
            </w:r>
            <w:r>
              <w:rPr>
                <w:noProof/>
                <w:webHidden/>
              </w:rPr>
              <w:tab/>
            </w:r>
            <w:r>
              <w:rPr>
                <w:noProof/>
                <w:webHidden/>
              </w:rPr>
              <w:fldChar w:fldCharType="begin"/>
            </w:r>
            <w:r>
              <w:rPr>
                <w:noProof/>
                <w:webHidden/>
              </w:rPr>
              <w:instrText xml:space="preserve"> PAGEREF _Toc157935457 \h </w:instrText>
            </w:r>
            <w:r>
              <w:rPr>
                <w:noProof/>
                <w:webHidden/>
              </w:rPr>
            </w:r>
            <w:r>
              <w:rPr>
                <w:noProof/>
                <w:webHidden/>
              </w:rPr>
              <w:fldChar w:fldCharType="separate"/>
            </w:r>
            <w:r w:rsidR="00415608">
              <w:rPr>
                <w:noProof/>
                <w:webHidden/>
              </w:rPr>
              <w:t>5</w:t>
            </w:r>
            <w:r>
              <w:rPr>
                <w:noProof/>
                <w:webHidden/>
              </w:rPr>
              <w:fldChar w:fldCharType="end"/>
            </w:r>
          </w:hyperlink>
        </w:p>
        <w:p w14:paraId="15344F35" w14:textId="64F1DEE5" w:rsidR="00D57578" w:rsidRDefault="00D57578">
          <w:pPr>
            <w:pStyle w:val="TM1"/>
            <w:rPr>
              <w:rFonts w:asciiTheme="minorHAnsi" w:eastAsiaTheme="minorEastAsia" w:hAnsiTheme="minorHAnsi" w:cstheme="minorBidi"/>
              <w:noProof/>
              <w:kern w:val="0"/>
              <w:sz w:val="22"/>
              <w:szCs w:val="22"/>
              <w:lang w:eastAsia="fr-CA"/>
            </w:rPr>
          </w:pPr>
          <w:hyperlink w:anchor="_Toc157935458" w:history="1">
            <w:r w:rsidRPr="008C38D6">
              <w:rPr>
                <w:rStyle w:val="Lienhypertexte"/>
                <w:noProof/>
              </w:rPr>
              <w:t>III.</w:t>
            </w:r>
            <w:r>
              <w:rPr>
                <w:rFonts w:asciiTheme="minorHAnsi" w:eastAsiaTheme="minorEastAsia" w:hAnsiTheme="minorHAnsi" w:cstheme="minorBidi"/>
                <w:noProof/>
                <w:kern w:val="0"/>
                <w:sz w:val="22"/>
                <w:szCs w:val="22"/>
                <w:lang w:eastAsia="fr-CA"/>
              </w:rPr>
              <w:tab/>
            </w:r>
            <w:r w:rsidRPr="008C38D6">
              <w:rPr>
                <w:rStyle w:val="Lienhypertexte"/>
                <w:noProof/>
              </w:rPr>
              <w:t>LISTE DES GRAPHIQUES</w:t>
            </w:r>
            <w:r>
              <w:rPr>
                <w:noProof/>
                <w:webHidden/>
              </w:rPr>
              <w:tab/>
            </w:r>
            <w:r>
              <w:rPr>
                <w:noProof/>
                <w:webHidden/>
              </w:rPr>
              <w:fldChar w:fldCharType="begin"/>
            </w:r>
            <w:r>
              <w:rPr>
                <w:noProof/>
                <w:webHidden/>
              </w:rPr>
              <w:instrText xml:space="preserve"> PAGEREF _Toc157935458 \h </w:instrText>
            </w:r>
            <w:r>
              <w:rPr>
                <w:noProof/>
                <w:webHidden/>
              </w:rPr>
            </w:r>
            <w:r>
              <w:rPr>
                <w:noProof/>
                <w:webHidden/>
              </w:rPr>
              <w:fldChar w:fldCharType="separate"/>
            </w:r>
            <w:r w:rsidR="00415608">
              <w:rPr>
                <w:noProof/>
                <w:webHidden/>
              </w:rPr>
              <w:t>6</w:t>
            </w:r>
            <w:r>
              <w:rPr>
                <w:noProof/>
                <w:webHidden/>
              </w:rPr>
              <w:fldChar w:fldCharType="end"/>
            </w:r>
          </w:hyperlink>
        </w:p>
        <w:p w14:paraId="12CF5124" w14:textId="7284F8E0" w:rsidR="00D57578" w:rsidRDefault="00D57578">
          <w:pPr>
            <w:pStyle w:val="TM1"/>
            <w:rPr>
              <w:rFonts w:asciiTheme="minorHAnsi" w:eastAsiaTheme="minorEastAsia" w:hAnsiTheme="minorHAnsi" w:cstheme="minorBidi"/>
              <w:noProof/>
              <w:kern w:val="0"/>
              <w:sz w:val="22"/>
              <w:szCs w:val="22"/>
              <w:lang w:eastAsia="fr-CA"/>
            </w:rPr>
          </w:pPr>
          <w:hyperlink w:anchor="_Toc157935459" w:history="1">
            <w:r w:rsidRPr="008C38D6">
              <w:rPr>
                <w:rStyle w:val="Lienhypertexte"/>
                <w:noProof/>
                <w:lang w:val="fr-FR"/>
              </w:rPr>
              <w:t>IV.</w:t>
            </w:r>
            <w:r>
              <w:rPr>
                <w:rFonts w:asciiTheme="minorHAnsi" w:eastAsiaTheme="minorEastAsia" w:hAnsiTheme="minorHAnsi" w:cstheme="minorBidi"/>
                <w:noProof/>
                <w:kern w:val="0"/>
                <w:sz w:val="22"/>
                <w:szCs w:val="22"/>
                <w:lang w:eastAsia="fr-CA"/>
              </w:rPr>
              <w:tab/>
            </w:r>
            <w:r w:rsidRPr="008C38D6">
              <w:rPr>
                <w:rStyle w:val="Lienhypertexte"/>
                <w:noProof/>
                <w:lang w:val="fr-FR"/>
              </w:rPr>
              <w:t xml:space="preserve">Résumé </w:t>
            </w:r>
            <w:r w:rsidRPr="008C38D6">
              <w:rPr>
                <w:rStyle w:val="Lienhypertexte"/>
                <w:noProof/>
              </w:rPr>
              <w:t>exécutif</w:t>
            </w:r>
            <w:r>
              <w:rPr>
                <w:noProof/>
                <w:webHidden/>
              </w:rPr>
              <w:tab/>
            </w:r>
            <w:r>
              <w:rPr>
                <w:noProof/>
                <w:webHidden/>
              </w:rPr>
              <w:fldChar w:fldCharType="begin"/>
            </w:r>
            <w:r>
              <w:rPr>
                <w:noProof/>
                <w:webHidden/>
              </w:rPr>
              <w:instrText xml:space="preserve"> PAGEREF _Toc157935459 \h </w:instrText>
            </w:r>
            <w:r>
              <w:rPr>
                <w:noProof/>
                <w:webHidden/>
              </w:rPr>
            </w:r>
            <w:r>
              <w:rPr>
                <w:noProof/>
                <w:webHidden/>
              </w:rPr>
              <w:fldChar w:fldCharType="separate"/>
            </w:r>
            <w:r w:rsidR="00415608">
              <w:rPr>
                <w:noProof/>
                <w:webHidden/>
              </w:rPr>
              <w:t>7</w:t>
            </w:r>
            <w:r>
              <w:rPr>
                <w:noProof/>
                <w:webHidden/>
              </w:rPr>
              <w:fldChar w:fldCharType="end"/>
            </w:r>
          </w:hyperlink>
        </w:p>
        <w:p w14:paraId="36687DFD" w14:textId="7F07677B" w:rsidR="00D57578" w:rsidRDefault="00D57578">
          <w:pPr>
            <w:pStyle w:val="TM1"/>
            <w:rPr>
              <w:rFonts w:asciiTheme="minorHAnsi" w:eastAsiaTheme="minorEastAsia" w:hAnsiTheme="minorHAnsi" w:cstheme="minorBidi"/>
              <w:noProof/>
              <w:kern w:val="0"/>
              <w:sz w:val="22"/>
              <w:szCs w:val="22"/>
              <w:lang w:eastAsia="fr-CA"/>
            </w:rPr>
          </w:pPr>
          <w:hyperlink w:anchor="_Toc157935460" w:history="1">
            <w:r w:rsidRPr="008C38D6">
              <w:rPr>
                <w:rStyle w:val="Lienhypertexte"/>
                <w:noProof/>
              </w:rPr>
              <w:t>V.</w:t>
            </w:r>
            <w:r>
              <w:rPr>
                <w:rFonts w:asciiTheme="minorHAnsi" w:eastAsiaTheme="minorEastAsia" w:hAnsiTheme="minorHAnsi" w:cstheme="minorBidi"/>
                <w:noProof/>
                <w:kern w:val="0"/>
                <w:sz w:val="22"/>
                <w:szCs w:val="22"/>
                <w:lang w:eastAsia="fr-CA"/>
              </w:rPr>
              <w:tab/>
            </w:r>
            <w:r w:rsidRPr="008C38D6">
              <w:rPr>
                <w:rStyle w:val="Lienhypertexte"/>
                <w:noProof/>
              </w:rPr>
              <w:t>Introduction</w:t>
            </w:r>
            <w:r>
              <w:rPr>
                <w:noProof/>
                <w:webHidden/>
              </w:rPr>
              <w:tab/>
            </w:r>
            <w:r>
              <w:rPr>
                <w:noProof/>
                <w:webHidden/>
              </w:rPr>
              <w:fldChar w:fldCharType="begin"/>
            </w:r>
            <w:r>
              <w:rPr>
                <w:noProof/>
                <w:webHidden/>
              </w:rPr>
              <w:instrText xml:space="preserve"> PAGEREF _Toc157935460 \h </w:instrText>
            </w:r>
            <w:r>
              <w:rPr>
                <w:noProof/>
                <w:webHidden/>
              </w:rPr>
            </w:r>
            <w:r>
              <w:rPr>
                <w:noProof/>
                <w:webHidden/>
              </w:rPr>
              <w:fldChar w:fldCharType="separate"/>
            </w:r>
            <w:r w:rsidR="00415608">
              <w:rPr>
                <w:noProof/>
                <w:webHidden/>
              </w:rPr>
              <w:t>8</w:t>
            </w:r>
            <w:r>
              <w:rPr>
                <w:noProof/>
                <w:webHidden/>
              </w:rPr>
              <w:fldChar w:fldCharType="end"/>
            </w:r>
          </w:hyperlink>
        </w:p>
        <w:p w14:paraId="61B61751" w14:textId="2D5E247D" w:rsidR="00D57578" w:rsidRDefault="00D57578">
          <w:pPr>
            <w:pStyle w:val="TM1"/>
            <w:rPr>
              <w:rFonts w:asciiTheme="minorHAnsi" w:eastAsiaTheme="minorEastAsia" w:hAnsiTheme="minorHAnsi" w:cstheme="minorBidi"/>
              <w:noProof/>
              <w:kern w:val="0"/>
              <w:sz w:val="22"/>
              <w:szCs w:val="22"/>
              <w:lang w:eastAsia="fr-CA"/>
            </w:rPr>
          </w:pPr>
          <w:hyperlink w:anchor="_Toc157935461" w:history="1">
            <w:r w:rsidRPr="008C38D6">
              <w:rPr>
                <w:rStyle w:val="Lienhypertexte"/>
                <w:noProof/>
              </w:rPr>
              <w:t>VI.</w:t>
            </w:r>
            <w:r>
              <w:rPr>
                <w:rFonts w:asciiTheme="minorHAnsi" w:eastAsiaTheme="minorEastAsia" w:hAnsiTheme="minorHAnsi" w:cstheme="minorBidi"/>
                <w:noProof/>
                <w:kern w:val="0"/>
                <w:sz w:val="22"/>
                <w:szCs w:val="22"/>
                <w:lang w:eastAsia="fr-CA"/>
              </w:rPr>
              <w:tab/>
            </w:r>
            <w:r w:rsidRPr="008C38D6">
              <w:rPr>
                <w:rStyle w:val="Lienhypertexte"/>
                <w:noProof/>
              </w:rPr>
              <w:t>Dispositif institutionnel de l’IGES</w:t>
            </w:r>
            <w:r>
              <w:rPr>
                <w:noProof/>
                <w:webHidden/>
              </w:rPr>
              <w:tab/>
            </w:r>
            <w:r>
              <w:rPr>
                <w:noProof/>
                <w:webHidden/>
              </w:rPr>
              <w:fldChar w:fldCharType="begin"/>
            </w:r>
            <w:r>
              <w:rPr>
                <w:noProof/>
                <w:webHidden/>
              </w:rPr>
              <w:instrText xml:space="preserve"> PAGEREF _Toc157935461 \h </w:instrText>
            </w:r>
            <w:r>
              <w:rPr>
                <w:noProof/>
                <w:webHidden/>
              </w:rPr>
            </w:r>
            <w:r>
              <w:rPr>
                <w:noProof/>
                <w:webHidden/>
              </w:rPr>
              <w:fldChar w:fldCharType="separate"/>
            </w:r>
            <w:r w:rsidR="00415608">
              <w:rPr>
                <w:noProof/>
                <w:webHidden/>
              </w:rPr>
              <w:t>8</w:t>
            </w:r>
            <w:r>
              <w:rPr>
                <w:noProof/>
                <w:webHidden/>
              </w:rPr>
              <w:fldChar w:fldCharType="end"/>
            </w:r>
          </w:hyperlink>
        </w:p>
        <w:p w14:paraId="21A97869" w14:textId="1EC78978" w:rsidR="00D57578" w:rsidRDefault="00D57578">
          <w:pPr>
            <w:pStyle w:val="TM2"/>
            <w:tabs>
              <w:tab w:val="left" w:pos="660"/>
              <w:tab w:val="right" w:leader="dot" w:pos="9062"/>
            </w:tabs>
            <w:rPr>
              <w:rFonts w:asciiTheme="minorHAnsi" w:eastAsiaTheme="minorEastAsia" w:hAnsiTheme="minorHAnsi" w:cstheme="minorBidi"/>
              <w:b w:val="0"/>
              <w:noProof/>
              <w:kern w:val="0"/>
              <w:sz w:val="22"/>
              <w:szCs w:val="22"/>
              <w:lang w:eastAsia="fr-CA"/>
            </w:rPr>
          </w:pPr>
          <w:hyperlink w:anchor="_Toc157935462" w:history="1">
            <w:r w:rsidRPr="008C38D6">
              <w:rPr>
                <w:rStyle w:val="Lienhypertexte"/>
                <w:noProof/>
              </w:rPr>
              <w:t>2.</w:t>
            </w:r>
            <w:r>
              <w:rPr>
                <w:rFonts w:asciiTheme="minorHAnsi" w:eastAsiaTheme="minorEastAsia" w:hAnsiTheme="minorHAnsi" w:cstheme="minorBidi"/>
                <w:b w:val="0"/>
                <w:noProof/>
                <w:kern w:val="0"/>
                <w:sz w:val="22"/>
                <w:szCs w:val="22"/>
                <w:lang w:eastAsia="fr-CA"/>
              </w:rPr>
              <w:tab/>
            </w:r>
            <w:r w:rsidRPr="008C38D6">
              <w:rPr>
                <w:rStyle w:val="Lienhypertexte"/>
                <w:noProof/>
              </w:rPr>
              <w:t>La Cellule de Coordination du Programme National sur le Changement Climatique</w:t>
            </w:r>
            <w:r>
              <w:rPr>
                <w:noProof/>
                <w:webHidden/>
              </w:rPr>
              <w:tab/>
            </w:r>
            <w:r>
              <w:rPr>
                <w:noProof/>
                <w:webHidden/>
              </w:rPr>
              <w:fldChar w:fldCharType="begin"/>
            </w:r>
            <w:r>
              <w:rPr>
                <w:noProof/>
                <w:webHidden/>
              </w:rPr>
              <w:instrText xml:space="preserve"> PAGEREF _Toc157935462 \h </w:instrText>
            </w:r>
            <w:r>
              <w:rPr>
                <w:noProof/>
                <w:webHidden/>
              </w:rPr>
            </w:r>
            <w:r>
              <w:rPr>
                <w:noProof/>
                <w:webHidden/>
              </w:rPr>
              <w:fldChar w:fldCharType="separate"/>
            </w:r>
            <w:r w:rsidR="00415608">
              <w:rPr>
                <w:noProof/>
                <w:webHidden/>
              </w:rPr>
              <w:t>9</w:t>
            </w:r>
            <w:r>
              <w:rPr>
                <w:noProof/>
                <w:webHidden/>
              </w:rPr>
              <w:fldChar w:fldCharType="end"/>
            </w:r>
          </w:hyperlink>
        </w:p>
        <w:p w14:paraId="7D7D22E4" w14:textId="39FDCEA9" w:rsidR="00D57578" w:rsidRDefault="00D57578">
          <w:pPr>
            <w:pStyle w:val="TM2"/>
            <w:tabs>
              <w:tab w:val="left" w:pos="660"/>
              <w:tab w:val="right" w:leader="dot" w:pos="9062"/>
            </w:tabs>
            <w:rPr>
              <w:rFonts w:asciiTheme="minorHAnsi" w:eastAsiaTheme="minorEastAsia" w:hAnsiTheme="minorHAnsi" w:cstheme="minorBidi"/>
              <w:b w:val="0"/>
              <w:noProof/>
              <w:kern w:val="0"/>
              <w:sz w:val="22"/>
              <w:szCs w:val="22"/>
              <w:lang w:eastAsia="fr-CA"/>
            </w:rPr>
          </w:pPr>
          <w:hyperlink w:anchor="_Toc157935463" w:history="1">
            <w:r w:rsidRPr="008C38D6">
              <w:rPr>
                <w:rStyle w:val="Lienhypertexte"/>
                <w:noProof/>
              </w:rPr>
              <w:t>3.</w:t>
            </w:r>
            <w:r>
              <w:rPr>
                <w:rFonts w:asciiTheme="minorHAnsi" w:eastAsiaTheme="minorEastAsia" w:hAnsiTheme="minorHAnsi" w:cstheme="minorBidi"/>
                <w:b w:val="0"/>
                <w:noProof/>
                <w:kern w:val="0"/>
                <w:sz w:val="22"/>
                <w:szCs w:val="22"/>
                <w:lang w:eastAsia="fr-CA"/>
              </w:rPr>
              <w:tab/>
            </w:r>
            <w:r w:rsidRPr="008C38D6">
              <w:rPr>
                <w:rStyle w:val="Lienhypertexte"/>
                <w:noProof/>
              </w:rPr>
              <w:t>Le Groupe de Travail Sectoriel (GTS)</w:t>
            </w:r>
            <w:r>
              <w:rPr>
                <w:noProof/>
                <w:webHidden/>
              </w:rPr>
              <w:tab/>
            </w:r>
            <w:r>
              <w:rPr>
                <w:noProof/>
                <w:webHidden/>
              </w:rPr>
              <w:fldChar w:fldCharType="begin"/>
            </w:r>
            <w:r>
              <w:rPr>
                <w:noProof/>
                <w:webHidden/>
              </w:rPr>
              <w:instrText xml:space="preserve"> PAGEREF _Toc157935463 \h </w:instrText>
            </w:r>
            <w:r>
              <w:rPr>
                <w:noProof/>
                <w:webHidden/>
              </w:rPr>
            </w:r>
            <w:r>
              <w:rPr>
                <w:noProof/>
                <w:webHidden/>
              </w:rPr>
              <w:fldChar w:fldCharType="separate"/>
            </w:r>
            <w:r w:rsidR="00415608">
              <w:rPr>
                <w:noProof/>
                <w:webHidden/>
              </w:rPr>
              <w:t>9</w:t>
            </w:r>
            <w:r>
              <w:rPr>
                <w:noProof/>
                <w:webHidden/>
              </w:rPr>
              <w:fldChar w:fldCharType="end"/>
            </w:r>
          </w:hyperlink>
        </w:p>
        <w:p w14:paraId="44B0815C" w14:textId="3F0FFA2F" w:rsidR="00D57578" w:rsidRDefault="00D57578">
          <w:pPr>
            <w:pStyle w:val="TM2"/>
            <w:tabs>
              <w:tab w:val="left" w:pos="660"/>
              <w:tab w:val="right" w:leader="dot" w:pos="9062"/>
            </w:tabs>
            <w:rPr>
              <w:rFonts w:asciiTheme="minorHAnsi" w:eastAsiaTheme="minorEastAsia" w:hAnsiTheme="minorHAnsi" w:cstheme="minorBidi"/>
              <w:b w:val="0"/>
              <w:noProof/>
              <w:kern w:val="0"/>
              <w:sz w:val="22"/>
              <w:szCs w:val="22"/>
              <w:lang w:eastAsia="fr-CA"/>
            </w:rPr>
          </w:pPr>
          <w:hyperlink w:anchor="_Toc157935464" w:history="1">
            <w:r w:rsidRPr="008C38D6">
              <w:rPr>
                <w:rStyle w:val="Lienhypertexte"/>
                <w:noProof/>
              </w:rPr>
              <w:t>4.</w:t>
            </w:r>
            <w:r>
              <w:rPr>
                <w:rFonts w:asciiTheme="minorHAnsi" w:eastAsiaTheme="minorEastAsia" w:hAnsiTheme="minorHAnsi" w:cstheme="minorBidi"/>
                <w:b w:val="0"/>
                <w:noProof/>
                <w:kern w:val="0"/>
                <w:sz w:val="22"/>
                <w:szCs w:val="22"/>
                <w:lang w:eastAsia="fr-CA"/>
              </w:rPr>
              <w:tab/>
            </w:r>
            <w:r w:rsidRPr="008C38D6">
              <w:rPr>
                <w:rStyle w:val="Lienhypertexte"/>
                <w:noProof/>
              </w:rPr>
              <w:t>L’équipe des experts nationaux</w:t>
            </w:r>
            <w:r>
              <w:rPr>
                <w:noProof/>
                <w:webHidden/>
              </w:rPr>
              <w:tab/>
            </w:r>
            <w:r>
              <w:rPr>
                <w:noProof/>
                <w:webHidden/>
              </w:rPr>
              <w:fldChar w:fldCharType="begin"/>
            </w:r>
            <w:r>
              <w:rPr>
                <w:noProof/>
                <w:webHidden/>
              </w:rPr>
              <w:instrText xml:space="preserve"> PAGEREF _Toc157935464 \h </w:instrText>
            </w:r>
            <w:r>
              <w:rPr>
                <w:noProof/>
                <w:webHidden/>
              </w:rPr>
            </w:r>
            <w:r>
              <w:rPr>
                <w:noProof/>
                <w:webHidden/>
              </w:rPr>
              <w:fldChar w:fldCharType="separate"/>
            </w:r>
            <w:r w:rsidR="00415608">
              <w:rPr>
                <w:noProof/>
                <w:webHidden/>
              </w:rPr>
              <w:t>10</w:t>
            </w:r>
            <w:r>
              <w:rPr>
                <w:noProof/>
                <w:webHidden/>
              </w:rPr>
              <w:fldChar w:fldCharType="end"/>
            </w:r>
          </w:hyperlink>
        </w:p>
        <w:p w14:paraId="425F7C11" w14:textId="391FEF09" w:rsidR="00D57578" w:rsidRDefault="00D57578">
          <w:pPr>
            <w:pStyle w:val="TM1"/>
            <w:rPr>
              <w:rFonts w:asciiTheme="minorHAnsi" w:eastAsiaTheme="minorEastAsia" w:hAnsiTheme="minorHAnsi" w:cstheme="minorBidi"/>
              <w:noProof/>
              <w:kern w:val="0"/>
              <w:sz w:val="22"/>
              <w:szCs w:val="22"/>
              <w:lang w:eastAsia="fr-CA"/>
            </w:rPr>
          </w:pPr>
          <w:hyperlink w:anchor="_Toc157935465" w:history="1">
            <w:r w:rsidRPr="008C38D6">
              <w:rPr>
                <w:rStyle w:val="Lienhypertexte"/>
                <w:noProof/>
              </w:rPr>
              <w:t>VII.</w:t>
            </w:r>
            <w:r>
              <w:rPr>
                <w:rFonts w:asciiTheme="minorHAnsi" w:eastAsiaTheme="minorEastAsia" w:hAnsiTheme="minorHAnsi" w:cstheme="minorBidi"/>
                <w:noProof/>
                <w:kern w:val="0"/>
                <w:sz w:val="22"/>
                <w:szCs w:val="22"/>
                <w:lang w:eastAsia="fr-CA"/>
              </w:rPr>
              <w:tab/>
            </w:r>
            <w:r w:rsidRPr="008C38D6">
              <w:rPr>
                <w:rStyle w:val="Lienhypertexte"/>
                <w:noProof/>
              </w:rPr>
              <w:t>La collecte des données</w:t>
            </w:r>
            <w:r>
              <w:rPr>
                <w:noProof/>
                <w:webHidden/>
              </w:rPr>
              <w:tab/>
            </w:r>
            <w:r>
              <w:rPr>
                <w:noProof/>
                <w:webHidden/>
              </w:rPr>
              <w:fldChar w:fldCharType="begin"/>
            </w:r>
            <w:r>
              <w:rPr>
                <w:noProof/>
                <w:webHidden/>
              </w:rPr>
              <w:instrText xml:space="preserve"> PAGEREF _Toc157935465 \h </w:instrText>
            </w:r>
            <w:r>
              <w:rPr>
                <w:noProof/>
                <w:webHidden/>
              </w:rPr>
            </w:r>
            <w:r>
              <w:rPr>
                <w:noProof/>
                <w:webHidden/>
              </w:rPr>
              <w:fldChar w:fldCharType="separate"/>
            </w:r>
            <w:r w:rsidR="00415608">
              <w:rPr>
                <w:noProof/>
                <w:webHidden/>
              </w:rPr>
              <w:t>11</w:t>
            </w:r>
            <w:r>
              <w:rPr>
                <w:noProof/>
                <w:webHidden/>
              </w:rPr>
              <w:fldChar w:fldCharType="end"/>
            </w:r>
          </w:hyperlink>
        </w:p>
        <w:p w14:paraId="64276341" w14:textId="48CFD7AA" w:rsidR="00D57578" w:rsidRDefault="00D57578">
          <w:pPr>
            <w:pStyle w:val="TM2"/>
            <w:tabs>
              <w:tab w:val="left" w:pos="660"/>
              <w:tab w:val="right" w:leader="dot" w:pos="9062"/>
            </w:tabs>
            <w:rPr>
              <w:rFonts w:asciiTheme="minorHAnsi" w:eastAsiaTheme="minorEastAsia" w:hAnsiTheme="minorHAnsi" w:cstheme="minorBidi"/>
              <w:b w:val="0"/>
              <w:noProof/>
              <w:kern w:val="0"/>
              <w:sz w:val="22"/>
              <w:szCs w:val="22"/>
              <w:lang w:eastAsia="fr-CA"/>
            </w:rPr>
          </w:pPr>
          <w:hyperlink w:anchor="_Toc157935466" w:history="1">
            <w:r w:rsidRPr="008C38D6">
              <w:rPr>
                <w:rStyle w:val="Lienhypertexte"/>
                <w:noProof/>
              </w:rPr>
              <w:t>5.</w:t>
            </w:r>
            <w:r>
              <w:rPr>
                <w:rFonts w:asciiTheme="minorHAnsi" w:eastAsiaTheme="minorEastAsia" w:hAnsiTheme="minorHAnsi" w:cstheme="minorBidi"/>
                <w:b w:val="0"/>
                <w:noProof/>
                <w:kern w:val="0"/>
                <w:sz w:val="22"/>
                <w:szCs w:val="22"/>
                <w:lang w:eastAsia="fr-CA"/>
              </w:rPr>
              <w:tab/>
            </w:r>
            <w:r w:rsidRPr="008C38D6">
              <w:rPr>
                <w:rStyle w:val="Lienhypertexte"/>
                <w:noProof/>
              </w:rPr>
              <w:t>Les sources de données</w:t>
            </w:r>
            <w:r>
              <w:rPr>
                <w:noProof/>
                <w:webHidden/>
              </w:rPr>
              <w:tab/>
            </w:r>
            <w:r>
              <w:rPr>
                <w:noProof/>
                <w:webHidden/>
              </w:rPr>
              <w:fldChar w:fldCharType="begin"/>
            </w:r>
            <w:r>
              <w:rPr>
                <w:noProof/>
                <w:webHidden/>
              </w:rPr>
              <w:instrText xml:space="preserve"> PAGEREF _Toc157935466 \h </w:instrText>
            </w:r>
            <w:r>
              <w:rPr>
                <w:noProof/>
                <w:webHidden/>
              </w:rPr>
            </w:r>
            <w:r>
              <w:rPr>
                <w:noProof/>
                <w:webHidden/>
              </w:rPr>
              <w:fldChar w:fldCharType="separate"/>
            </w:r>
            <w:r w:rsidR="00415608">
              <w:rPr>
                <w:noProof/>
                <w:webHidden/>
              </w:rPr>
              <w:t>11</w:t>
            </w:r>
            <w:r>
              <w:rPr>
                <w:noProof/>
                <w:webHidden/>
              </w:rPr>
              <w:fldChar w:fldCharType="end"/>
            </w:r>
          </w:hyperlink>
        </w:p>
        <w:p w14:paraId="56178E9A" w14:textId="2D472106" w:rsidR="00D57578" w:rsidRDefault="00D57578">
          <w:pPr>
            <w:pStyle w:val="TM2"/>
            <w:tabs>
              <w:tab w:val="left" w:pos="660"/>
              <w:tab w:val="right" w:leader="dot" w:pos="9062"/>
            </w:tabs>
            <w:rPr>
              <w:rFonts w:asciiTheme="minorHAnsi" w:eastAsiaTheme="minorEastAsia" w:hAnsiTheme="minorHAnsi" w:cstheme="minorBidi"/>
              <w:b w:val="0"/>
              <w:noProof/>
              <w:kern w:val="0"/>
              <w:sz w:val="22"/>
              <w:szCs w:val="22"/>
              <w:lang w:eastAsia="fr-CA"/>
            </w:rPr>
          </w:pPr>
          <w:hyperlink w:anchor="_Toc157935467" w:history="1">
            <w:r w:rsidRPr="008C38D6">
              <w:rPr>
                <w:rStyle w:val="Lienhypertexte"/>
                <w:noProof/>
              </w:rPr>
              <w:t>6.</w:t>
            </w:r>
            <w:r>
              <w:rPr>
                <w:rFonts w:asciiTheme="minorHAnsi" w:eastAsiaTheme="minorEastAsia" w:hAnsiTheme="minorHAnsi" w:cstheme="minorBidi"/>
                <w:b w:val="0"/>
                <w:noProof/>
                <w:kern w:val="0"/>
                <w:sz w:val="22"/>
                <w:szCs w:val="22"/>
                <w:lang w:eastAsia="fr-CA"/>
              </w:rPr>
              <w:tab/>
            </w:r>
            <w:r w:rsidRPr="008C38D6">
              <w:rPr>
                <w:rStyle w:val="Lienhypertexte"/>
                <w:noProof/>
              </w:rPr>
              <w:t>Portrait du secteur industriel mauritanien</w:t>
            </w:r>
            <w:r>
              <w:rPr>
                <w:noProof/>
                <w:webHidden/>
              </w:rPr>
              <w:tab/>
            </w:r>
            <w:r>
              <w:rPr>
                <w:noProof/>
                <w:webHidden/>
              </w:rPr>
              <w:fldChar w:fldCharType="begin"/>
            </w:r>
            <w:r>
              <w:rPr>
                <w:noProof/>
                <w:webHidden/>
              </w:rPr>
              <w:instrText xml:space="preserve"> PAGEREF _Toc157935467 \h </w:instrText>
            </w:r>
            <w:r>
              <w:rPr>
                <w:noProof/>
                <w:webHidden/>
              </w:rPr>
            </w:r>
            <w:r>
              <w:rPr>
                <w:noProof/>
                <w:webHidden/>
              </w:rPr>
              <w:fldChar w:fldCharType="separate"/>
            </w:r>
            <w:r w:rsidR="00415608">
              <w:rPr>
                <w:noProof/>
                <w:webHidden/>
              </w:rPr>
              <w:t>11</w:t>
            </w:r>
            <w:r>
              <w:rPr>
                <w:noProof/>
                <w:webHidden/>
              </w:rPr>
              <w:fldChar w:fldCharType="end"/>
            </w:r>
          </w:hyperlink>
        </w:p>
        <w:p w14:paraId="60C6898D" w14:textId="27666A23" w:rsidR="00D57578" w:rsidRDefault="00D57578">
          <w:pPr>
            <w:pStyle w:val="TM1"/>
            <w:tabs>
              <w:tab w:val="left" w:pos="880"/>
            </w:tabs>
            <w:rPr>
              <w:rFonts w:asciiTheme="minorHAnsi" w:eastAsiaTheme="minorEastAsia" w:hAnsiTheme="minorHAnsi" w:cstheme="minorBidi"/>
              <w:noProof/>
              <w:kern w:val="0"/>
              <w:sz w:val="22"/>
              <w:szCs w:val="22"/>
              <w:lang w:eastAsia="fr-CA"/>
            </w:rPr>
          </w:pPr>
          <w:hyperlink w:anchor="_Toc157935468" w:history="1">
            <w:r w:rsidRPr="008C38D6">
              <w:rPr>
                <w:rStyle w:val="Lienhypertexte"/>
                <w:noProof/>
              </w:rPr>
              <w:t>VIII.</w:t>
            </w:r>
            <w:r>
              <w:rPr>
                <w:rFonts w:asciiTheme="minorHAnsi" w:eastAsiaTheme="minorEastAsia" w:hAnsiTheme="minorHAnsi" w:cstheme="minorBidi"/>
                <w:noProof/>
                <w:kern w:val="0"/>
                <w:sz w:val="22"/>
                <w:szCs w:val="22"/>
                <w:lang w:eastAsia="fr-CA"/>
              </w:rPr>
              <w:tab/>
            </w:r>
            <w:r w:rsidRPr="008C38D6">
              <w:rPr>
                <w:rStyle w:val="Lienhypertexte"/>
                <w:noProof/>
              </w:rPr>
              <w:t>Les données d’activités</w:t>
            </w:r>
            <w:r>
              <w:rPr>
                <w:noProof/>
                <w:webHidden/>
              </w:rPr>
              <w:tab/>
            </w:r>
            <w:r>
              <w:rPr>
                <w:noProof/>
                <w:webHidden/>
              </w:rPr>
              <w:fldChar w:fldCharType="begin"/>
            </w:r>
            <w:r>
              <w:rPr>
                <w:noProof/>
                <w:webHidden/>
              </w:rPr>
              <w:instrText xml:space="preserve"> PAGEREF _Toc157935468 \h </w:instrText>
            </w:r>
            <w:r>
              <w:rPr>
                <w:noProof/>
                <w:webHidden/>
              </w:rPr>
            </w:r>
            <w:r>
              <w:rPr>
                <w:noProof/>
                <w:webHidden/>
              </w:rPr>
              <w:fldChar w:fldCharType="separate"/>
            </w:r>
            <w:r w:rsidR="00415608">
              <w:rPr>
                <w:noProof/>
                <w:webHidden/>
              </w:rPr>
              <w:t>13</w:t>
            </w:r>
            <w:r>
              <w:rPr>
                <w:noProof/>
                <w:webHidden/>
              </w:rPr>
              <w:fldChar w:fldCharType="end"/>
            </w:r>
          </w:hyperlink>
        </w:p>
        <w:p w14:paraId="3B97DDBC" w14:textId="41DBEC2A" w:rsidR="00D57578" w:rsidRDefault="00D57578">
          <w:pPr>
            <w:pStyle w:val="TM2"/>
            <w:tabs>
              <w:tab w:val="left" w:pos="660"/>
              <w:tab w:val="right" w:leader="dot" w:pos="9062"/>
            </w:tabs>
            <w:rPr>
              <w:rFonts w:asciiTheme="minorHAnsi" w:eastAsiaTheme="minorEastAsia" w:hAnsiTheme="minorHAnsi" w:cstheme="minorBidi"/>
              <w:b w:val="0"/>
              <w:noProof/>
              <w:kern w:val="0"/>
              <w:sz w:val="22"/>
              <w:szCs w:val="22"/>
              <w:lang w:eastAsia="fr-CA"/>
            </w:rPr>
          </w:pPr>
          <w:hyperlink w:anchor="_Toc157935469" w:history="1">
            <w:r w:rsidRPr="008C38D6">
              <w:rPr>
                <w:rStyle w:val="Lienhypertexte"/>
                <w:noProof/>
              </w:rPr>
              <w:t>7.</w:t>
            </w:r>
            <w:r>
              <w:rPr>
                <w:rFonts w:asciiTheme="minorHAnsi" w:eastAsiaTheme="minorEastAsia" w:hAnsiTheme="minorHAnsi" w:cstheme="minorBidi"/>
                <w:b w:val="0"/>
                <w:noProof/>
                <w:kern w:val="0"/>
                <w:sz w:val="22"/>
                <w:szCs w:val="22"/>
                <w:lang w:eastAsia="fr-CA"/>
              </w:rPr>
              <w:tab/>
            </w:r>
            <w:r w:rsidRPr="008C38D6">
              <w:rPr>
                <w:rStyle w:val="Lienhypertexte"/>
                <w:noProof/>
              </w:rPr>
              <w:t>2A L’industrie minérale</w:t>
            </w:r>
            <w:r>
              <w:rPr>
                <w:noProof/>
                <w:webHidden/>
              </w:rPr>
              <w:tab/>
            </w:r>
            <w:r>
              <w:rPr>
                <w:noProof/>
                <w:webHidden/>
              </w:rPr>
              <w:fldChar w:fldCharType="begin"/>
            </w:r>
            <w:r>
              <w:rPr>
                <w:noProof/>
                <w:webHidden/>
              </w:rPr>
              <w:instrText xml:space="preserve"> PAGEREF _Toc157935469 \h </w:instrText>
            </w:r>
            <w:r>
              <w:rPr>
                <w:noProof/>
                <w:webHidden/>
              </w:rPr>
            </w:r>
            <w:r>
              <w:rPr>
                <w:noProof/>
                <w:webHidden/>
              </w:rPr>
              <w:fldChar w:fldCharType="separate"/>
            </w:r>
            <w:r w:rsidR="00415608">
              <w:rPr>
                <w:noProof/>
                <w:webHidden/>
              </w:rPr>
              <w:t>13</w:t>
            </w:r>
            <w:r>
              <w:rPr>
                <w:noProof/>
                <w:webHidden/>
              </w:rPr>
              <w:fldChar w:fldCharType="end"/>
            </w:r>
          </w:hyperlink>
        </w:p>
        <w:p w14:paraId="4C224445" w14:textId="6DECFEF4" w:rsidR="00D57578" w:rsidRDefault="00D57578">
          <w:pPr>
            <w:pStyle w:val="TM2"/>
            <w:tabs>
              <w:tab w:val="left" w:pos="660"/>
              <w:tab w:val="right" w:leader="dot" w:pos="9062"/>
            </w:tabs>
            <w:rPr>
              <w:rFonts w:asciiTheme="minorHAnsi" w:eastAsiaTheme="minorEastAsia" w:hAnsiTheme="minorHAnsi" w:cstheme="minorBidi"/>
              <w:b w:val="0"/>
              <w:noProof/>
              <w:kern w:val="0"/>
              <w:sz w:val="22"/>
              <w:szCs w:val="22"/>
              <w:lang w:eastAsia="fr-CA"/>
            </w:rPr>
          </w:pPr>
          <w:hyperlink w:anchor="_Toc157935470" w:history="1">
            <w:r w:rsidRPr="008C38D6">
              <w:rPr>
                <w:rStyle w:val="Lienhypertexte"/>
                <w:noProof/>
              </w:rPr>
              <w:t>8.</w:t>
            </w:r>
            <w:r>
              <w:rPr>
                <w:rFonts w:asciiTheme="minorHAnsi" w:eastAsiaTheme="minorEastAsia" w:hAnsiTheme="minorHAnsi" w:cstheme="minorBidi"/>
                <w:b w:val="0"/>
                <w:noProof/>
                <w:kern w:val="0"/>
                <w:sz w:val="22"/>
                <w:szCs w:val="22"/>
                <w:lang w:eastAsia="fr-CA"/>
              </w:rPr>
              <w:tab/>
            </w:r>
            <w:r w:rsidRPr="008C38D6">
              <w:rPr>
                <w:rStyle w:val="Lienhypertexte"/>
                <w:noProof/>
              </w:rPr>
              <w:t>2A1 L’industrie du ciment</w:t>
            </w:r>
            <w:r>
              <w:rPr>
                <w:noProof/>
                <w:webHidden/>
              </w:rPr>
              <w:tab/>
            </w:r>
            <w:r>
              <w:rPr>
                <w:noProof/>
                <w:webHidden/>
              </w:rPr>
              <w:fldChar w:fldCharType="begin"/>
            </w:r>
            <w:r>
              <w:rPr>
                <w:noProof/>
                <w:webHidden/>
              </w:rPr>
              <w:instrText xml:space="preserve"> PAGEREF _Toc157935470 \h </w:instrText>
            </w:r>
            <w:r>
              <w:rPr>
                <w:noProof/>
                <w:webHidden/>
              </w:rPr>
            </w:r>
            <w:r>
              <w:rPr>
                <w:noProof/>
                <w:webHidden/>
              </w:rPr>
              <w:fldChar w:fldCharType="separate"/>
            </w:r>
            <w:r w:rsidR="00415608">
              <w:rPr>
                <w:noProof/>
                <w:webHidden/>
              </w:rPr>
              <w:t>14</w:t>
            </w:r>
            <w:r>
              <w:rPr>
                <w:noProof/>
                <w:webHidden/>
              </w:rPr>
              <w:fldChar w:fldCharType="end"/>
            </w:r>
          </w:hyperlink>
        </w:p>
        <w:p w14:paraId="59A1F623" w14:textId="1BFD7E1F" w:rsidR="00D57578" w:rsidRDefault="00D57578">
          <w:pPr>
            <w:pStyle w:val="TM3"/>
            <w:tabs>
              <w:tab w:val="left" w:pos="880"/>
              <w:tab w:val="right" w:leader="dot" w:pos="9062"/>
            </w:tabs>
            <w:rPr>
              <w:rFonts w:asciiTheme="minorHAnsi" w:eastAsiaTheme="minorEastAsia" w:hAnsiTheme="minorHAnsi" w:cstheme="minorBidi"/>
              <w:noProof/>
              <w:kern w:val="0"/>
              <w:lang w:val="fr-CA" w:eastAsia="fr-CA"/>
            </w:rPr>
          </w:pPr>
          <w:hyperlink w:anchor="_Toc157935471" w:history="1">
            <w:r w:rsidRPr="008C38D6">
              <w:rPr>
                <w:rStyle w:val="Lienhypertexte"/>
                <w:noProof/>
              </w:rPr>
              <w:t>a.</w:t>
            </w:r>
            <w:r>
              <w:rPr>
                <w:rFonts w:asciiTheme="minorHAnsi" w:eastAsiaTheme="minorEastAsia" w:hAnsiTheme="minorHAnsi" w:cstheme="minorBidi"/>
                <w:noProof/>
                <w:kern w:val="0"/>
                <w:lang w:val="fr-CA" w:eastAsia="fr-CA"/>
              </w:rPr>
              <w:tab/>
            </w:r>
            <w:r w:rsidRPr="008C38D6">
              <w:rPr>
                <w:rStyle w:val="Lienhypertexte"/>
                <w:noProof/>
              </w:rPr>
              <w:t>Ciment de Mauritanie</w:t>
            </w:r>
            <w:r>
              <w:rPr>
                <w:noProof/>
                <w:webHidden/>
              </w:rPr>
              <w:tab/>
            </w:r>
            <w:r>
              <w:rPr>
                <w:noProof/>
                <w:webHidden/>
              </w:rPr>
              <w:fldChar w:fldCharType="begin"/>
            </w:r>
            <w:r>
              <w:rPr>
                <w:noProof/>
                <w:webHidden/>
              </w:rPr>
              <w:instrText xml:space="preserve"> PAGEREF _Toc157935471 \h </w:instrText>
            </w:r>
            <w:r>
              <w:rPr>
                <w:noProof/>
                <w:webHidden/>
              </w:rPr>
            </w:r>
            <w:r>
              <w:rPr>
                <w:noProof/>
                <w:webHidden/>
              </w:rPr>
              <w:fldChar w:fldCharType="separate"/>
            </w:r>
            <w:r w:rsidR="00415608">
              <w:rPr>
                <w:noProof/>
                <w:webHidden/>
              </w:rPr>
              <w:t>17</w:t>
            </w:r>
            <w:r>
              <w:rPr>
                <w:noProof/>
                <w:webHidden/>
              </w:rPr>
              <w:fldChar w:fldCharType="end"/>
            </w:r>
          </w:hyperlink>
        </w:p>
        <w:p w14:paraId="356C8C36" w14:textId="2A6AF298" w:rsidR="00D57578" w:rsidRDefault="00D57578">
          <w:pPr>
            <w:pStyle w:val="TM3"/>
            <w:tabs>
              <w:tab w:val="left" w:pos="880"/>
              <w:tab w:val="right" w:leader="dot" w:pos="9062"/>
            </w:tabs>
            <w:rPr>
              <w:rFonts w:asciiTheme="minorHAnsi" w:eastAsiaTheme="minorEastAsia" w:hAnsiTheme="minorHAnsi" w:cstheme="minorBidi"/>
              <w:noProof/>
              <w:kern w:val="0"/>
              <w:lang w:val="fr-CA" w:eastAsia="fr-CA"/>
            </w:rPr>
          </w:pPr>
          <w:hyperlink w:anchor="_Toc157935472" w:history="1">
            <w:r w:rsidRPr="008C38D6">
              <w:rPr>
                <w:rStyle w:val="Lienhypertexte"/>
                <w:noProof/>
              </w:rPr>
              <w:t>b.</w:t>
            </w:r>
            <w:r>
              <w:rPr>
                <w:rFonts w:asciiTheme="minorHAnsi" w:eastAsiaTheme="minorEastAsia" w:hAnsiTheme="minorHAnsi" w:cstheme="minorBidi"/>
                <w:noProof/>
                <w:kern w:val="0"/>
                <w:lang w:val="fr-CA" w:eastAsia="fr-CA"/>
              </w:rPr>
              <w:tab/>
            </w:r>
            <w:r w:rsidRPr="008C38D6">
              <w:rPr>
                <w:rStyle w:val="Lienhypertexte"/>
                <w:noProof/>
              </w:rPr>
              <w:t>Mauritano-française de ciment (MAFCI)</w:t>
            </w:r>
            <w:r>
              <w:rPr>
                <w:noProof/>
                <w:webHidden/>
              </w:rPr>
              <w:tab/>
            </w:r>
            <w:r>
              <w:rPr>
                <w:noProof/>
                <w:webHidden/>
              </w:rPr>
              <w:fldChar w:fldCharType="begin"/>
            </w:r>
            <w:r>
              <w:rPr>
                <w:noProof/>
                <w:webHidden/>
              </w:rPr>
              <w:instrText xml:space="preserve"> PAGEREF _Toc157935472 \h </w:instrText>
            </w:r>
            <w:r>
              <w:rPr>
                <w:noProof/>
                <w:webHidden/>
              </w:rPr>
            </w:r>
            <w:r>
              <w:rPr>
                <w:noProof/>
                <w:webHidden/>
              </w:rPr>
              <w:fldChar w:fldCharType="separate"/>
            </w:r>
            <w:r w:rsidR="00415608">
              <w:rPr>
                <w:noProof/>
                <w:webHidden/>
              </w:rPr>
              <w:t>17</w:t>
            </w:r>
            <w:r>
              <w:rPr>
                <w:noProof/>
                <w:webHidden/>
              </w:rPr>
              <w:fldChar w:fldCharType="end"/>
            </w:r>
          </w:hyperlink>
        </w:p>
        <w:p w14:paraId="204BB1E3" w14:textId="0FBF84B0" w:rsidR="00D57578" w:rsidRDefault="00D57578">
          <w:pPr>
            <w:pStyle w:val="TM3"/>
            <w:tabs>
              <w:tab w:val="left" w:pos="880"/>
              <w:tab w:val="right" w:leader="dot" w:pos="9062"/>
            </w:tabs>
            <w:rPr>
              <w:rFonts w:asciiTheme="minorHAnsi" w:eastAsiaTheme="minorEastAsia" w:hAnsiTheme="minorHAnsi" w:cstheme="minorBidi"/>
              <w:noProof/>
              <w:kern w:val="0"/>
              <w:lang w:val="fr-CA" w:eastAsia="fr-CA"/>
            </w:rPr>
          </w:pPr>
          <w:hyperlink w:anchor="_Toc157935473" w:history="1">
            <w:r w:rsidRPr="008C38D6">
              <w:rPr>
                <w:rStyle w:val="Lienhypertexte"/>
                <w:noProof/>
              </w:rPr>
              <w:t>c.</w:t>
            </w:r>
            <w:r>
              <w:rPr>
                <w:rFonts w:asciiTheme="minorHAnsi" w:eastAsiaTheme="minorEastAsia" w:hAnsiTheme="minorHAnsi" w:cstheme="minorBidi"/>
                <w:noProof/>
                <w:kern w:val="0"/>
                <w:lang w:val="fr-CA" w:eastAsia="fr-CA"/>
              </w:rPr>
              <w:tab/>
            </w:r>
            <w:r w:rsidRPr="008C38D6">
              <w:rPr>
                <w:rStyle w:val="Lienhypertexte"/>
                <w:noProof/>
              </w:rPr>
              <w:t>Mauricim</w:t>
            </w:r>
            <w:r>
              <w:rPr>
                <w:noProof/>
                <w:webHidden/>
              </w:rPr>
              <w:tab/>
            </w:r>
            <w:r>
              <w:rPr>
                <w:noProof/>
                <w:webHidden/>
              </w:rPr>
              <w:fldChar w:fldCharType="begin"/>
            </w:r>
            <w:r>
              <w:rPr>
                <w:noProof/>
                <w:webHidden/>
              </w:rPr>
              <w:instrText xml:space="preserve"> PAGEREF _Toc157935473 \h </w:instrText>
            </w:r>
            <w:r>
              <w:rPr>
                <w:noProof/>
                <w:webHidden/>
              </w:rPr>
            </w:r>
            <w:r>
              <w:rPr>
                <w:noProof/>
                <w:webHidden/>
              </w:rPr>
              <w:fldChar w:fldCharType="separate"/>
            </w:r>
            <w:r w:rsidR="00415608">
              <w:rPr>
                <w:noProof/>
                <w:webHidden/>
              </w:rPr>
              <w:t>17</w:t>
            </w:r>
            <w:r>
              <w:rPr>
                <w:noProof/>
                <w:webHidden/>
              </w:rPr>
              <w:fldChar w:fldCharType="end"/>
            </w:r>
          </w:hyperlink>
        </w:p>
        <w:p w14:paraId="12F402C5" w14:textId="0357DAA8" w:rsidR="00D57578" w:rsidRDefault="00D57578">
          <w:pPr>
            <w:pStyle w:val="TM3"/>
            <w:tabs>
              <w:tab w:val="left" w:pos="880"/>
              <w:tab w:val="right" w:leader="dot" w:pos="9062"/>
            </w:tabs>
            <w:rPr>
              <w:rFonts w:asciiTheme="minorHAnsi" w:eastAsiaTheme="minorEastAsia" w:hAnsiTheme="minorHAnsi" w:cstheme="minorBidi"/>
              <w:noProof/>
              <w:kern w:val="0"/>
              <w:lang w:val="fr-CA" w:eastAsia="fr-CA"/>
            </w:rPr>
          </w:pPr>
          <w:hyperlink w:anchor="_Toc157935474" w:history="1">
            <w:r w:rsidRPr="008C38D6">
              <w:rPr>
                <w:rStyle w:val="Lienhypertexte"/>
                <w:noProof/>
              </w:rPr>
              <w:t>d.</w:t>
            </w:r>
            <w:r>
              <w:rPr>
                <w:rFonts w:asciiTheme="minorHAnsi" w:eastAsiaTheme="minorEastAsia" w:hAnsiTheme="minorHAnsi" w:cstheme="minorBidi"/>
                <w:noProof/>
                <w:kern w:val="0"/>
                <w:lang w:val="fr-CA" w:eastAsia="fr-CA"/>
              </w:rPr>
              <w:tab/>
            </w:r>
            <w:r w:rsidRPr="008C38D6">
              <w:rPr>
                <w:rStyle w:val="Lienhypertexte"/>
                <w:noProof/>
              </w:rPr>
              <w:t>Ciment du Sahel</w:t>
            </w:r>
            <w:r>
              <w:rPr>
                <w:noProof/>
                <w:webHidden/>
              </w:rPr>
              <w:tab/>
            </w:r>
            <w:r>
              <w:rPr>
                <w:noProof/>
                <w:webHidden/>
              </w:rPr>
              <w:fldChar w:fldCharType="begin"/>
            </w:r>
            <w:r>
              <w:rPr>
                <w:noProof/>
                <w:webHidden/>
              </w:rPr>
              <w:instrText xml:space="preserve"> PAGEREF _Toc157935474 \h </w:instrText>
            </w:r>
            <w:r>
              <w:rPr>
                <w:noProof/>
                <w:webHidden/>
              </w:rPr>
            </w:r>
            <w:r>
              <w:rPr>
                <w:noProof/>
                <w:webHidden/>
              </w:rPr>
              <w:fldChar w:fldCharType="separate"/>
            </w:r>
            <w:r w:rsidR="00415608">
              <w:rPr>
                <w:noProof/>
                <w:webHidden/>
              </w:rPr>
              <w:t>18</w:t>
            </w:r>
            <w:r>
              <w:rPr>
                <w:noProof/>
                <w:webHidden/>
              </w:rPr>
              <w:fldChar w:fldCharType="end"/>
            </w:r>
          </w:hyperlink>
        </w:p>
        <w:p w14:paraId="361B06F9" w14:textId="3A5F27C5" w:rsidR="00D57578" w:rsidRDefault="00D57578">
          <w:pPr>
            <w:pStyle w:val="TM2"/>
            <w:tabs>
              <w:tab w:val="left" w:pos="660"/>
              <w:tab w:val="right" w:leader="dot" w:pos="9062"/>
            </w:tabs>
            <w:rPr>
              <w:rFonts w:asciiTheme="minorHAnsi" w:eastAsiaTheme="minorEastAsia" w:hAnsiTheme="minorHAnsi" w:cstheme="minorBidi"/>
              <w:b w:val="0"/>
              <w:noProof/>
              <w:kern w:val="0"/>
              <w:sz w:val="22"/>
              <w:szCs w:val="22"/>
              <w:lang w:eastAsia="fr-CA"/>
            </w:rPr>
          </w:pPr>
          <w:hyperlink w:anchor="_Toc157935475" w:history="1">
            <w:r w:rsidRPr="008C38D6">
              <w:rPr>
                <w:rStyle w:val="Lienhypertexte"/>
                <w:noProof/>
              </w:rPr>
              <w:t>9.</w:t>
            </w:r>
            <w:r>
              <w:rPr>
                <w:rFonts w:asciiTheme="minorHAnsi" w:eastAsiaTheme="minorEastAsia" w:hAnsiTheme="minorHAnsi" w:cstheme="minorBidi"/>
                <w:b w:val="0"/>
                <w:noProof/>
                <w:kern w:val="0"/>
                <w:sz w:val="22"/>
                <w:szCs w:val="22"/>
                <w:lang w:eastAsia="fr-CA"/>
              </w:rPr>
              <w:tab/>
            </w:r>
            <w:r w:rsidRPr="008C38D6">
              <w:rPr>
                <w:rStyle w:val="Lienhypertexte"/>
                <w:noProof/>
              </w:rPr>
              <w:t>2BL’industrie chimique</w:t>
            </w:r>
            <w:r>
              <w:rPr>
                <w:noProof/>
                <w:webHidden/>
              </w:rPr>
              <w:tab/>
            </w:r>
            <w:r>
              <w:rPr>
                <w:noProof/>
                <w:webHidden/>
              </w:rPr>
              <w:fldChar w:fldCharType="begin"/>
            </w:r>
            <w:r>
              <w:rPr>
                <w:noProof/>
                <w:webHidden/>
              </w:rPr>
              <w:instrText xml:space="preserve"> PAGEREF _Toc157935475 \h </w:instrText>
            </w:r>
            <w:r>
              <w:rPr>
                <w:noProof/>
                <w:webHidden/>
              </w:rPr>
            </w:r>
            <w:r>
              <w:rPr>
                <w:noProof/>
                <w:webHidden/>
              </w:rPr>
              <w:fldChar w:fldCharType="separate"/>
            </w:r>
            <w:r w:rsidR="00415608">
              <w:rPr>
                <w:noProof/>
                <w:webHidden/>
              </w:rPr>
              <w:t>18</w:t>
            </w:r>
            <w:r>
              <w:rPr>
                <w:noProof/>
                <w:webHidden/>
              </w:rPr>
              <w:fldChar w:fldCharType="end"/>
            </w:r>
          </w:hyperlink>
        </w:p>
        <w:p w14:paraId="45E75C44" w14:textId="6DC5CFDC" w:rsidR="00D57578" w:rsidRDefault="00D57578">
          <w:pPr>
            <w:pStyle w:val="TM2"/>
            <w:tabs>
              <w:tab w:val="left" w:pos="880"/>
              <w:tab w:val="right" w:leader="dot" w:pos="9062"/>
            </w:tabs>
            <w:rPr>
              <w:rFonts w:asciiTheme="minorHAnsi" w:eastAsiaTheme="minorEastAsia" w:hAnsiTheme="minorHAnsi" w:cstheme="minorBidi"/>
              <w:b w:val="0"/>
              <w:noProof/>
              <w:kern w:val="0"/>
              <w:sz w:val="22"/>
              <w:szCs w:val="22"/>
              <w:lang w:eastAsia="fr-CA"/>
            </w:rPr>
          </w:pPr>
          <w:hyperlink w:anchor="_Toc157935476" w:history="1">
            <w:r w:rsidRPr="008C38D6">
              <w:rPr>
                <w:rStyle w:val="Lienhypertexte"/>
                <w:noProof/>
              </w:rPr>
              <w:t>10.</w:t>
            </w:r>
            <w:r>
              <w:rPr>
                <w:rFonts w:asciiTheme="minorHAnsi" w:eastAsiaTheme="minorEastAsia" w:hAnsiTheme="minorHAnsi" w:cstheme="minorBidi"/>
                <w:b w:val="0"/>
                <w:noProof/>
                <w:kern w:val="0"/>
                <w:sz w:val="22"/>
                <w:szCs w:val="22"/>
                <w:lang w:eastAsia="fr-CA"/>
              </w:rPr>
              <w:tab/>
            </w:r>
            <w:r w:rsidRPr="008C38D6">
              <w:rPr>
                <w:rStyle w:val="Lienhypertexte"/>
                <w:noProof/>
              </w:rPr>
              <w:t>2C L’industrie métallique</w:t>
            </w:r>
            <w:r>
              <w:rPr>
                <w:noProof/>
                <w:webHidden/>
              </w:rPr>
              <w:tab/>
            </w:r>
            <w:r>
              <w:rPr>
                <w:noProof/>
                <w:webHidden/>
              </w:rPr>
              <w:fldChar w:fldCharType="begin"/>
            </w:r>
            <w:r>
              <w:rPr>
                <w:noProof/>
                <w:webHidden/>
              </w:rPr>
              <w:instrText xml:space="preserve"> PAGEREF _Toc157935476 \h </w:instrText>
            </w:r>
            <w:r>
              <w:rPr>
                <w:noProof/>
                <w:webHidden/>
              </w:rPr>
            </w:r>
            <w:r>
              <w:rPr>
                <w:noProof/>
                <w:webHidden/>
              </w:rPr>
              <w:fldChar w:fldCharType="separate"/>
            </w:r>
            <w:r w:rsidR="00415608">
              <w:rPr>
                <w:noProof/>
                <w:webHidden/>
              </w:rPr>
              <w:t>19</w:t>
            </w:r>
            <w:r>
              <w:rPr>
                <w:noProof/>
                <w:webHidden/>
              </w:rPr>
              <w:fldChar w:fldCharType="end"/>
            </w:r>
          </w:hyperlink>
        </w:p>
        <w:p w14:paraId="57CB866D" w14:textId="781C035A" w:rsidR="00D57578" w:rsidRDefault="00D57578">
          <w:pPr>
            <w:pStyle w:val="TM2"/>
            <w:tabs>
              <w:tab w:val="left" w:pos="880"/>
              <w:tab w:val="right" w:leader="dot" w:pos="9062"/>
            </w:tabs>
            <w:rPr>
              <w:rFonts w:asciiTheme="minorHAnsi" w:eastAsiaTheme="minorEastAsia" w:hAnsiTheme="minorHAnsi" w:cstheme="minorBidi"/>
              <w:b w:val="0"/>
              <w:noProof/>
              <w:kern w:val="0"/>
              <w:sz w:val="22"/>
              <w:szCs w:val="22"/>
              <w:lang w:eastAsia="fr-CA"/>
            </w:rPr>
          </w:pPr>
          <w:hyperlink w:anchor="_Toc157935477" w:history="1">
            <w:r w:rsidRPr="008C38D6">
              <w:rPr>
                <w:rStyle w:val="Lienhypertexte"/>
                <w:noProof/>
              </w:rPr>
              <w:t>11.</w:t>
            </w:r>
            <w:r>
              <w:rPr>
                <w:rFonts w:asciiTheme="minorHAnsi" w:eastAsiaTheme="minorEastAsia" w:hAnsiTheme="minorHAnsi" w:cstheme="minorBidi"/>
                <w:b w:val="0"/>
                <w:noProof/>
                <w:kern w:val="0"/>
                <w:sz w:val="22"/>
                <w:szCs w:val="22"/>
                <w:lang w:eastAsia="fr-CA"/>
              </w:rPr>
              <w:tab/>
            </w:r>
            <w:r w:rsidRPr="008C38D6">
              <w:rPr>
                <w:rStyle w:val="Lienhypertexte"/>
                <w:noProof/>
              </w:rPr>
              <w:t>2D Produits non énergétiques provenant de combustibles et de l’utilisation de solvants</w:t>
            </w:r>
            <w:r>
              <w:rPr>
                <w:noProof/>
                <w:webHidden/>
              </w:rPr>
              <w:tab/>
            </w:r>
            <w:r>
              <w:rPr>
                <w:noProof/>
                <w:webHidden/>
              </w:rPr>
              <w:fldChar w:fldCharType="begin"/>
            </w:r>
            <w:r>
              <w:rPr>
                <w:noProof/>
                <w:webHidden/>
              </w:rPr>
              <w:instrText xml:space="preserve"> PAGEREF _Toc157935477 \h </w:instrText>
            </w:r>
            <w:r>
              <w:rPr>
                <w:noProof/>
                <w:webHidden/>
              </w:rPr>
            </w:r>
            <w:r>
              <w:rPr>
                <w:noProof/>
                <w:webHidden/>
              </w:rPr>
              <w:fldChar w:fldCharType="separate"/>
            </w:r>
            <w:r w:rsidR="00415608">
              <w:rPr>
                <w:noProof/>
                <w:webHidden/>
              </w:rPr>
              <w:t>21</w:t>
            </w:r>
            <w:r>
              <w:rPr>
                <w:noProof/>
                <w:webHidden/>
              </w:rPr>
              <w:fldChar w:fldCharType="end"/>
            </w:r>
          </w:hyperlink>
        </w:p>
        <w:p w14:paraId="35F0E8C0" w14:textId="1B40922B" w:rsidR="00D57578" w:rsidRDefault="00D57578">
          <w:pPr>
            <w:pStyle w:val="TM2"/>
            <w:tabs>
              <w:tab w:val="left" w:pos="880"/>
              <w:tab w:val="right" w:leader="dot" w:pos="9062"/>
            </w:tabs>
            <w:rPr>
              <w:rFonts w:asciiTheme="minorHAnsi" w:eastAsiaTheme="minorEastAsia" w:hAnsiTheme="minorHAnsi" w:cstheme="minorBidi"/>
              <w:b w:val="0"/>
              <w:noProof/>
              <w:kern w:val="0"/>
              <w:sz w:val="22"/>
              <w:szCs w:val="22"/>
              <w:lang w:eastAsia="fr-CA"/>
            </w:rPr>
          </w:pPr>
          <w:hyperlink w:anchor="_Toc157935478" w:history="1">
            <w:r w:rsidRPr="008C38D6">
              <w:rPr>
                <w:rStyle w:val="Lienhypertexte"/>
                <w:noProof/>
              </w:rPr>
              <w:t>12.</w:t>
            </w:r>
            <w:r>
              <w:rPr>
                <w:rFonts w:asciiTheme="minorHAnsi" w:eastAsiaTheme="minorEastAsia" w:hAnsiTheme="minorHAnsi" w:cstheme="minorBidi"/>
                <w:b w:val="0"/>
                <w:noProof/>
                <w:kern w:val="0"/>
                <w:sz w:val="22"/>
                <w:szCs w:val="22"/>
                <w:lang w:eastAsia="fr-CA"/>
              </w:rPr>
              <w:tab/>
            </w:r>
            <w:r w:rsidRPr="008C38D6">
              <w:rPr>
                <w:rStyle w:val="Lienhypertexte"/>
                <w:noProof/>
              </w:rPr>
              <w:t>2E L’industrie électronique</w:t>
            </w:r>
            <w:r>
              <w:rPr>
                <w:noProof/>
                <w:webHidden/>
              </w:rPr>
              <w:tab/>
            </w:r>
            <w:r>
              <w:rPr>
                <w:noProof/>
                <w:webHidden/>
              </w:rPr>
              <w:fldChar w:fldCharType="begin"/>
            </w:r>
            <w:r>
              <w:rPr>
                <w:noProof/>
                <w:webHidden/>
              </w:rPr>
              <w:instrText xml:space="preserve"> PAGEREF _Toc157935478 \h </w:instrText>
            </w:r>
            <w:r>
              <w:rPr>
                <w:noProof/>
                <w:webHidden/>
              </w:rPr>
            </w:r>
            <w:r>
              <w:rPr>
                <w:noProof/>
                <w:webHidden/>
              </w:rPr>
              <w:fldChar w:fldCharType="separate"/>
            </w:r>
            <w:r w:rsidR="00415608">
              <w:rPr>
                <w:noProof/>
                <w:webHidden/>
              </w:rPr>
              <w:t>23</w:t>
            </w:r>
            <w:r>
              <w:rPr>
                <w:noProof/>
                <w:webHidden/>
              </w:rPr>
              <w:fldChar w:fldCharType="end"/>
            </w:r>
          </w:hyperlink>
        </w:p>
        <w:p w14:paraId="761DEFD4" w14:textId="4B721C0D" w:rsidR="00D57578" w:rsidRDefault="00D57578">
          <w:pPr>
            <w:pStyle w:val="TM2"/>
            <w:tabs>
              <w:tab w:val="left" w:pos="880"/>
              <w:tab w:val="right" w:leader="dot" w:pos="9062"/>
            </w:tabs>
            <w:rPr>
              <w:rFonts w:asciiTheme="minorHAnsi" w:eastAsiaTheme="minorEastAsia" w:hAnsiTheme="minorHAnsi" w:cstheme="minorBidi"/>
              <w:b w:val="0"/>
              <w:noProof/>
              <w:kern w:val="0"/>
              <w:sz w:val="22"/>
              <w:szCs w:val="22"/>
              <w:lang w:eastAsia="fr-CA"/>
            </w:rPr>
          </w:pPr>
          <w:hyperlink w:anchor="_Toc157935479" w:history="1">
            <w:r w:rsidRPr="008C38D6">
              <w:rPr>
                <w:rStyle w:val="Lienhypertexte"/>
                <w:noProof/>
              </w:rPr>
              <w:t>13.</w:t>
            </w:r>
            <w:r>
              <w:rPr>
                <w:rFonts w:asciiTheme="minorHAnsi" w:eastAsiaTheme="minorEastAsia" w:hAnsiTheme="minorHAnsi" w:cstheme="minorBidi"/>
                <w:b w:val="0"/>
                <w:noProof/>
                <w:kern w:val="0"/>
                <w:sz w:val="22"/>
                <w:szCs w:val="22"/>
                <w:lang w:eastAsia="fr-CA"/>
              </w:rPr>
              <w:tab/>
            </w:r>
            <w:r w:rsidRPr="008C38D6">
              <w:rPr>
                <w:rStyle w:val="Lienhypertexte"/>
                <w:noProof/>
              </w:rPr>
              <w:t>2F Utilisation de produits comme substituts des substances appauvrissant l’ozone (SAO)</w:t>
            </w:r>
            <w:r>
              <w:rPr>
                <w:noProof/>
                <w:webHidden/>
              </w:rPr>
              <w:tab/>
            </w:r>
            <w:r>
              <w:rPr>
                <w:noProof/>
                <w:webHidden/>
              </w:rPr>
              <w:fldChar w:fldCharType="begin"/>
            </w:r>
            <w:r>
              <w:rPr>
                <w:noProof/>
                <w:webHidden/>
              </w:rPr>
              <w:instrText xml:space="preserve"> PAGEREF _Toc157935479 \h </w:instrText>
            </w:r>
            <w:r>
              <w:rPr>
                <w:noProof/>
                <w:webHidden/>
              </w:rPr>
            </w:r>
            <w:r>
              <w:rPr>
                <w:noProof/>
                <w:webHidden/>
              </w:rPr>
              <w:fldChar w:fldCharType="separate"/>
            </w:r>
            <w:r w:rsidR="00415608">
              <w:rPr>
                <w:noProof/>
                <w:webHidden/>
              </w:rPr>
              <w:t>23</w:t>
            </w:r>
            <w:r>
              <w:rPr>
                <w:noProof/>
                <w:webHidden/>
              </w:rPr>
              <w:fldChar w:fldCharType="end"/>
            </w:r>
          </w:hyperlink>
        </w:p>
        <w:p w14:paraId="75868F4C" w14:textId="011CDD58" w:rsidR="00D57578" w:rsidRDefault="00D57578">
          <w:pPr>
            <w:pStyle w:val="TM2"/>
            <w:tabs>
              <w:tab w:val="left" w:pos="880"/>
              <w:tab w:val="right" w:leader="dot" w:pos="9062"/>
            </w:tabs>
            <w:rPr>
              <w:rFonts w:asciiTheme="minorHAnsi" w:eastAsiaTheme="minorEastAsia" w:hAnsiTheme="minorHAnsi" w:cstheme="minorBidi"/>
              <w:b w:val="0"/>
              <w:noProof/>
              <w:kern w:val="0"/>
              <w:sz w:val="22"/>
              <w:szCs w:val="22"/>
              <w:lang w:eastAsia="fr-CA"/>
            </w:rPr>
          </w:pPr>
          <w:hyperlink w:anchor="_Toc157935480" w:history="1">
            <w:r w:rsidRPr="008C38D6">
              <w:rPr>
                <w:rStyle w:val="Lienhypertexte"/>
                <w:noProof/>
              </w:rPr>
              <w:t>14.</w:t>
            </w:r>
            <w:r>
              <w:rPr>
                <w:rFonts w:asciiTheme="minorHAnsi" w:eastAsiaTheme="minorEastAsia" w:hAnsiTheme="minorHAnsi" w:cstheme="minorBidi"/>
                <w:b w:val="0"/>
                <w:noProof/>
                <w:kern w:val="0"/>
                <w:sz w:val="22"/>
                <w:szCs w:val="22"/>
                <w:lang w:eastAsia="fr-CA"/>
              </w:rPr>
              <w:tab/>
            </w:r>
            <w:r w:rsidRPr="008C38D6">
              <w:rPr>
                <w:rStyle w:val="Lienhypertexte"/>
                <w:noProof/>
              </w:rPr>
              <w:t>2G Autres fabrications et utilisations de produits</w:t>
            </w:r>
            <w:r>
              <w:rPr>
                <w:noProof/>
                <w:webHidden/>
              </w:rPr>
              <w:tab/>
            </w:r>
            <w:r>
              <w:rPr>
                <w:noProof/>
                <w:webHidden/>
              </w:rPr>
              <w:fldChar w:fldCharType="begin"/>
            </w:r>
            <w:r>
              <w:rPr>
                <w:noProof/>
                <w:webHidden/>
              </w:rPr>
              <w:instrText xml:space="preserve"> PAGEREF _Toc157935480 \h </w:instrText>
            </w:r>
            <w:r>
              <w:rPr>
                <w:noProof/>
                <w:webHidden/>
              </w:rPr>
            </w:r>
            <w:r>
              <w:rPr>
                <w:noProof/>
                <w:webHidden/>
              </w:rPr>
              <w:fldChar w:fldCharType="separate"/>
            </w:r>
            <w:r w:rsidR="00415608">
              <w:rPr>
                <w:noProof/>
                <w:webHidden/>
              </w:rPr>
              <w:t>24</w:t>
            </w:r>
            <w:r>
              <w:rPr>
                <w:noProof/>
                <w:webHidden/>
              </w:rPr>
              <w:fldChar w:fldCharType="end"/>
            </w:r>
          </w:hyperlink>
        </w:p>
        <w:p w14:paraId="46345D68" w14:textId="59E5074C" w:rsidR="00D57578" w:rsidRDefault="00D57578">
          <w:pPr>
            <w:pStyle w:val="TM2"/>
            <w:tabs>
              <w:tab w:val="left" w:pos="880"/>
              <w:tab w:val="right" w:leader="dot" w:pos="9062"/>
            </w:tabs>
            <w:rPr>
              <w:rFonts w:asciiTheme="minorHAnsi" w:eastAsiaTheme="minorEastAsia" w:hAnsiTheme="minorHAnsi" w:cstheme="minorBidi"/>
              <w:b w:val="0"/>
              <w:noProof/>
              <w:kern w:val="0"/>
              <w:sz w:val="22"/>
              <w:szCs w:val="22"/>
              <w:lang w:eastAsia="fr-CA"/>
            </w:rPr>
          </w:pPr>
          <w:hyperlink w:anchor="_Toc157935481" w:history="1">
            <w:r w:rsidRPr="008C38D6">
              <w:rPr>
                <w:rStyle w:val="Lienhypertexte"/>
                <w:noProof/>
              </w:rPr>
              <w:t>15.</w:t>
            </w:r>
            <w:r>
              <w:rPr>
                <w:rFonts w:asciiTheme="minorHAnsi" w:eastAsiaTheme="minorEastAsia" w:hAnsiTheme="minorHAnsi" w:cstheme="minorBidi"/>
                <w:b w:val="0"/>
                <w:noProof/>
                <w:kern w:val="0"/>
                <w:sz w:val="22"/>
                <w:szCs w:val="22"/>
                <w:lang w:eastAsia="fr-CA"/>
              </w:rPr>
              <w:tab/>
            </w:r>
            <w:r w:rsidRPr="008C38D6">
              <w:rPr>
                <w:rStyle w:val="Lienhypertexte"/>
                <w:noProof/>
              </w:rPr>
              <w:t>2H Autres</w:t>
            </w:r>
            <w:r>
              <w:rPr>
                <w:noProof/>
                <w:webHidden/>
              </w:rPr>
              <w:tab/>
            </w:r>
            <w:r>
              <w:rPr>
                <w:noProof/>
                <w:webHidden/>
              </w:rPr>
              <w:fldChar w:fldCharType="begin"/>
            </w:r>
            <w:r>
              <w:rPr>
                <w:noProof/>
                <w:webHidden/>
              </w:rPr>
              <w:instrText xml:space="preserve"> PAGEREF _Toc157935481 \h </w:instrText>
            </w:r>
            <w:r>
              <w:rPr>
                <w:noProof/>
                <w:webHidden/>
              </w:rPr>
            </w:r>
            <w:r>
              <w:rPr>
                <w:noProof/>
                <w:webHidden/>
              </w:rPr>
              <w:fldChar w:fldCharType="separate"/>
            </w:r>
            <w:r w:rsidR="00415608">
              <w:rPr>
                <w:noProof/>
                <w:webHidden/>
              </w:rPr>
              <w:t>24</w:t>
            </w:r>
            <w:r>
              <w:rPr>
                <w:noProof/>
                <w:webHidden/>
              </w:rPr>
              <w:fldChar w:fldCharType="end"/>
            </w:r>
          </w:hyperlink>
        </w:p>
        <w:p w14:paraId="61F02FED" w14:textId="72113D43" w:rsidR="00D57578" w:rsidRDefault="00D57578">
          <w:pPr>
            <w:pStyle w:val="TM1"/>
            <w:rPr>
              <w:rFonts w:asciiTheme="minorHAnsi" w:eastAsiaTheme="minorEastAsia" w:hAnsiTheme="minorHAnsi" w:cstheme="minorBidi"/>
              <w:noProof/>
              <w:kern w:val="0"/>
              <w:sz w:val="22"/>
              <w:szCs w:val="22"/>
              <w:lang w:eastAsia="fr-CA"/>
            </w:rPr>
          </w:pPr>
          <w:hyperlink w:anchor="_Toc157935482" w:history="1">
            <w:r w:rsidRPr="008C38D6">
              <w:rPr>
                <w:rStyle w:val="Lienhypertexte"/>
                <w:noProof/>
              </w:rPr>
              <w:t>IX.</w:t>
            </w:r>
            <w:r>
              <w:rPr>
                <w:rFonts w:asciiTheme="minorHAnsi" w:eastAsiaTheme="minorEastAsia" w:hAnsiTheme="minorHAnsi" w:cstheme="minorBidi"/>
                <w:noProof/>
                <w:kern w:val="0"/>
                <w:sz w:val="22"/>
                <w:szCs w:val="22"/>
                <w:lang w:eastAsia="fr-CA"/>
              </w:rPr>
              <w:tab/>
            </w:r>
            <w:r w:rsidRPr="008C38D6">
              <w:rPr>
                <w:rStyle w:val="Lienhypertexte"/>
                <w:noProof/>
              </w:rPr>
              <w:t>Estimation des émissions de GES des différents secteurs</w:t>
            </w:r>
            <w:r>
              <w:rPr>
                <w:noProof/>
                <w:webHidden/>
              </w:rPr>
              <w:tab/>
            </w:r>
            <w:r>
              <w:rPr>
                <w:noProof/>
                <w:webHidden/>
              </w:rPr>
              <w:fldChar w:fldCharType="begin"/>
            </w:r>
            <w:r>
              <w:rPr>
                <w:noProof/>
                <w:webHidden/>
              </w:rPr>
              <w:instrText xml:space="preserve"> PAGEREF _Toc157935482 \h </w:instrText>
            </w:r>
            <w:r>
              <w:rPr>
                <w:noProof/>
                <w:webHidden/>
              </w:rPr>
            </w:r>
            <w:r>
              <w:rPr>
                <w:noProof/>
                <w:webHidden/>
              </w:rPr>
              <w:fldChar w:fldCharType="separate"/>
            </w:r>
            <w:r w:rsidR="00415608">
              <w:rPr>
                <w:noProof/>
                <w:webHidden/>
              </w:rPr>
              <w:t>26</w:t>
            </w:r>
            <w:r>
              <w:rPr>
                <w:noProof/>
                <w:webHidden/>
              </w:rPr>
              <w:fldChar w:fldCharType="end"/>
            </w:r>
          </w:hyperlink>
        </w:p>
        <w:p w14:paraId="566B8C6F" w14:textId="29FB93C4" w:rsidR="00D57578" w:rsidRDefault="00D57578">
          <w:pPr>
            <w:pStyle w:val="TM2"/>
            <w:tabs>
              <w:tab w:val="left" w:pos="880"/>
              <w:tab w:val="right" w:leader="dot" w:pos="9062"/>
            </w:tabs>
            <w:rPr>
              <w:rFonts w:asciiTheme="minorHAnsi" w:eastAsiaTheme="minorEastAsia" w:hAnsiTheme="minorHAnsi" w:cstheme="minorBidi"/>
              <w:b w:val="0"/>
              <w:noProof/>
              <w:kern w:val="0"/>
              <w:sz w:val="22"/>
              <w:szCs w:val="22"/>
              <w:lang w:eastAsia="fr-CA"/>
            </w:rPr>
          </w:pPr>
          <w:hyperlink w:anchor="_Toc157935483" w:history="1">
            <w:r w:rsidRPr="008C38D6">
              <w:rPr>
                <w:rStyle w:val="Lienhypertexte"/>
                <w:noProof/>
                <w:lang w:eastAsia="fr-FR"/>
              </w:rPr>
              <w:t>16.</w:t>
            </w:r>
            <w:r>
              <w:rPr>
                <w:rFonts w:asciiTheme="minorHAnsi" w:eastAsiaTheme="minorEastAsia" w:hAnsiTheme="minorHAnsi" w:cstheme="minorBidi"/>
                <w:b w:val="0"/>
                <w:noProof/>
                <w:kern w:val="0"/>
                <w:sz w:val="22"/>
                <w:szCs w:val="22"/>
                <w:lang w:eastAsia="fr-CA"/>
              </w:rPr>
              <w:tab/>
            </w:r>
            <w:r w:rsidRPr="008C38D6">
              <w:rPr>
                <w:rStyle w:val="Lienhypertexte"/>
                <w:noProof/>
              </w:rPr>
              <w:t>Les émissions de SO</w:t>
            </w:r>
            <w:r w:rsidRPr="008C38D6">
              <w:rPr>
                <w:rStyle w:val="Lienhypertexte"/>
                <w:noProof/>
                <w:vertAlign w:val="subscript"/>
              </w:rPr>
              <w:t>2</w:t>
            </w:r>
            <w:r>
              <w:rPr>
                <w:noProof/>
                <w:webHidden/>
              </w:rPr>
              <w:tab/>
            </w:r>
            <w:r>
              <w:rPr>
                <w:noProof/>
                <w:webHidden/>
              </w:rPr>
              <w:fldChar w:fldCharType="begin"/>
            </w:r>
            <w:r>
              <w:rPr>
                <w:noProof/>
                <w:webHidden/>
              </w:rPr>
              <w:instrText xml:space="preserve"> PAGEREF _Toc157935483 \h </w:instrText>
            </w:r>
            <w:r>
              <w:rPr>
                <w:noProof/>
                <w:webHidden/>
              </w:rPr>
            </w:r>
            <w:r>
              <w:rPr>
                <w:noProof/>
                <w:webHidden/>
              </w:rPr>
              <w:fldChar w:fldCharType="separate"/>
            </w:r>
            <w:r w:rsidR="00415608">
              <w:rPr>
                <w:noProof/>
                <w:webHidden/>
              </w:rPr>
              <w:t>28</w:t>
            </w:r>
            <w:r>
              <w:rPr>
                <w:noProof/>
                <w:webHidden/>
              </w:rPr>
              <w:fldChar w:fldCharType="end"/>
            </w:r>
          </w:hyperlink>
        </w:p>
        <w:p w14:paraId="76F76965" w14:textId="19D7DAFA" w:rsidR="00D57578" w:rsidRDefault="00D57578">
          <w:pPr>
            <w:pStyle w:val="TM3"/>
            <w:tabs>
              <w:tab w:val="left" w:pos="880"/>
              <w:tab w:val="right" w:leader="dot" w:pos="9062"/>
            </w:tabs>
            <w:rPr>
              <w:rFonts w:asciiTheme="minorHAnsi" w:eastAsiaTheme="minorEastAsia" w:hAnsiTheme="minorHAnsi" w:cstheme="minorBidi"/>
              <w:noProof/>
              <w:kern w:val="0"/>
              <w:lang w:val="fr-CA" w:eastAsia="fr-CA"/>
            </w:rPr>
          </w:pPr>
          <w:hyperlink w:anchor="_Toc157935484" w:history="1">
            <w:r w:rsidRPr="008C38D6">
              <w:rPr>
                <w:rStyle w:val="Lienhypertexte"/>
                <w:noProof/>
                <w:lang w:eastAsia="fr-FR"/>
              </w:rPr>
              <w:t>e.</w:t>
            </w:r>
            <w:r>
              <w:rPr>
                <w:rFonts w:asciiTheme="minorHAnsi" w:eastAsiaTheme="minorEastAsia" w:hAnsiTheme="minorHAnsi" w:cstheme="minorBidi"/>
                <w:noProof/>
                <w:kern w:val="0"/>
                <w:lang w:val="fr-CA" w:eastAsia="fr-CA"/>
              </w:rPr>
              <w:tab/>
            </w:r>
            <w:r w:rsidRPr="008C38D6">
              <w:rPr>
                <w:rStyle w:val="Lienhypertexte"/>
                <w:noProof/>
                <w:lang w:eastAsia="fr-FR"/>
              </w:rPr>
              <w:t>Incertitudes</w:t>
            </w:r>
            <w:r>
              <w:rPr>
                <w:noProof/>
                <w:webHidden/>
              </w:rPr>
              <w:tab/>
            </w:r>
            <w:r>
              <w:rPr>
                <w:noProof/>
                <w:webHidden/>
              </w:rPr>
              <w:fldChar w:fldCharType="begin"/>
            </w:r>
            <w:r>
              <w:rPr>
                <w:noProof/>
                <w:webHidden/>
              </w:rPr>
              <w:instrText xml:space="preserve"> PAGEREF _Toc157935484 \h </w:instrText>
            </w:r>
            <w:r>
              <w:rPr>
                <w:noProof/>
                <w:webHidden/>
              </w:rPr>
            </w:r>
            <w:r>
              <w:rPr>
                <w:noProof/>
                <w:webHidden/>
              </w:rPr>
              <w:fldChar w:fldCharType="separate"/>
            </w:r>
            <w:r w:rsidR="00415608">
              <w:rPr>
                <w:noProof/>
                <w:webHidden/>
              </w:rPr>
              <w:t>30</w:t>
            </w:r>
            <w:r>
              <w:rPr>
                <w:noProof/>
                <w:webHidden/>
              </w:rPr>
              <w:fldChar w:fldCharType="end"/>
            </w:r>
          </w:hyperlink>
        </w:p>
        <w:p w14:paraId="0C933730" w14:textId="3CC86C76" w:rsidR="00D57578" w:rsidRDefault="00D57578">
          <w:pPr>
            <w:pStyle w:val="TM3"/>
            <w:tabs>
              <w:tab w:val="left" w:pos="880"/>
              <w:tab w:val="right" w:leader="dot" w:pos="9062"/>
            </w:tabs>
            <w:rPr>
              <w:rFonts w:asciiTheme="minorHAnsi" w:eastAsiaTheme="minorEastAsia" w:hAnsiTheme="minorHAnsi" w:cstheme="minorBidi"/>
              <w:noProof/>
              <w:kern w:val="0"/>
              <w:lang w:val="fr-CA" w:eastAsia="fr-CA"/>
            </w:rPr>
          </w:pPr>
          <w:hyperlink w:anchor="_Toc157935485" w:history="1">
            <w:r w:rsidRPr="008C38D6">
              <w:rPr>
                <w:rStyle w:val="Lienhypertexte"/>
                <w:noProof/>
                <w:lang w:eastAsia="fr-FR"/>
              </w:rPr>
              <w:t>f.</w:t>
            </w:r>
            <w:r>
              <w:rPr>
                <w:rFonts w:asciiTheme="minorHAnsi" w:eastAsiaTheme="minorEastAsia" w:hAnsiTheme="minorHAnsi" w:cstheme="minorBidi"/>
                <w:noProof/>
                <w:kern w:val="0"/>
                <w:lang w:val="fr-CA" w:eastAsia="fr-CA"/>
              </w:rPr>
              <w:tab/>
            </w:r>
            <w:r w:rsidRPr="008C38D6">
              <w:rPr>
                <w:rStyle w:val="Lienhypertexte"/>
                <w:noProof/>
                <w:lang w:eastAsia="fr-FR"/>
              </w:rPr>
              <w:t>Assurance et contrôle qualité</w:t>
            </w:r>
            <w:r>
              <w:rPr>
                <w:noProof/>
                <w:webHidden/>
              </w:rPr>
              <w:tab/>
            </w:r>
            <w:r>
              <w:rPr>
                <w:noProof/>
                <w:webHidden/>
              </w:rPr>
              <w:fldChar w:fldCharType="begin"/>
            </w:r>
            <w:r>
              <w:rPr>
                <w:noProof/>
                <w:webHidden/>
              </w:rPr>
              <w:instrText xml:space="preserve"> PAGEREF _Toc157935485 \h </w:instrText>
            </w:r>
            <w:r>
              <w:rPr>
                <w:noProof/>
                <w:webHidden/>
              </w:rPr>
            </w:r>
            <w:r>
              <w:rPr>
                <w:noProof/>
                <w:webHidden/>
              </w:rPr>
              <w:fldChar w:fldCharType="separate"/>
            </w:r>
            <w:r w:rsidR="00415608">
              <w:rPr>
                <w:noProof/>
                <w:webHidden/>
              </w:rPr>
              <w:t>31</w:t>
            </w:r>
            <w:r>
              <w:rPr>
                <w:noProof/>
                <w:webHidden/>
              </w:rPr>
              <w:fldChar w:fldCharType="end"/>
            </w:r>
          </w:hyperlink>
        </w:p>
        <w:p w14:paraId="06B8EAB5" w14:textId="40C4D9BB" w:rsidR="00D57578" w:rsidRDefault="00D57578">
          <w:pPr>
            <w:pStyle w:val="TM2"/>
            <w:tabs>
              <w:tab w:val="left" w:pos="880"/>
              <w:tab w:val="right" w:leader="dot" w:pos="9062"/>
            </w:tabs>
            <w:rPr>
              <w:rFonts w:asciiTheme="minorHAnsi" w:eastAsiaTheme="minorEastAsia" w:hAnsiTheme="minorHAnsi" w:cstheme="minorBidi"/>
              <w:b w:val="0"/>
              <w:noProof/>
              <w:kern w:val="0"/>
              <w:sz w:val="22"/>
              <w:szCs w:val="22"/>
              <w:lang w:eastAsia="fr-CA"/>
            </w:rPr>
          </w:pPr>
          <w:hyperlink w:anchor="_Toc157935486" w:history="1">
            <w:r w:rsidRPr="008C38D6">
              <w:rPr>
                <w:rStyle w:val="Lienhypertexte"/>
                <w:noProof/>
              </w:rPr>
              <w:t>17.</w:t>
            </w:r>
            <w:r>
              <w:rPr>
                <w:rFonts w:asciiTheme="minorHAnsi" w:eastAsiaTheme="minorEastAsia" w:hAnsiTheme="minorHAnsi" w:cstheme="minorBidi"/>
                <w:b w:val="0"/>
                <w:noProof/>
                <w:kern w:val="0"/>
                <w:sz w:val="22"/>
                <w:szCs w:val="22"/>
                <w:lang w:eastAsia="fr-CA"/>
              </w:rPr>
              <w:tab/>
            </w:r>
            <w:r w:rsidRPr="008C38D6">
              <w:rPr>
                <w:rStyle w:val="Lienhypertexte"/>
                <w:noProof/>
              </w:rPr>
              <w:t>Émissions de l’industrie métallique</w:t>
            </w:r>
            <w:r>
              <w:rPr>
                <w:noProof/>
                <w:webHidden/>
              </w:rPr>
              <w:tab/>
            </w:r>
            <w:r>
              <w:rPr>
                <w:noProof/>
                <w:webHidden/>
              </w:rPr>
              <w:fldChar w:fldCharType="begin"/>
            </w:r>
            <w:r>
              <w:rPr>
                <w:noProof/>
                <w:webHidden/>
              </w:rPr>
              <w:instrText xml:space="preserve"> PAGEREF _Toc157935486 \h </w:instrText>
            </w:r>
            <w:r>
              <w:rPr>
                <w:noProof/>
                <w:webHidden/>
              </w:rPr>
            </w:r>
            <w:r>
              <w:rPr>
                <w:noProof/>
                <w:webHidden/>
              </w:rPr>
              <w:fldChar w:fldCharType="separate"/>
            </w:r>
            <w:r w:rsidR="00415608">
              <w:rPr>
                <w:noProof/>
                <w:webHidden/>
              </w:rPr>
              <w:t>31</w:t>
            </w:r>
            <w:r>
              <w:rPr>
                <w:noProof/>
                <w:webHidden/>
              </w:rPr>
              <w:fldChar w:fldCharType="end"/>
            </w:r>
          </w:hyperlink>
        </w:p>
        <w:p w14:paraId="7F10D30E" w14:textId="1F0C2B2D" w:rsidR="00D57578" w:rsidRDefault="00D57578">
          <w:pPr>
            <w:pStyle w:val="TM3"/>
            <w:tabs>
              <w:tab w:val="left" w:pos="880"/>
              <w:tab w:val="right" w:leader="dot" w:pos="9062"/>
            </w:tabs>
            <w:rPr>
              <w:rFonts w:asciiTheme="minorHAnsi" w:eastAsiaTheme="minorEastAsia" w:hAnsiTheme="minorHAnsi" w:cstheme="minorBidi"/>
              <w:noProof/>
              <w:kern w:val="0"/>
              <w:lang w:val="fr-CA" w:eastAsia="fr-CA"/>
            </w:rPr>
          </w:pPr>
          <w:hyperlink w:anchor="_Toc157935487" w:history="1">
            <w:r w:rsidRPr="008C38D6">
              <w:rPr>
                <w:rStyle w:val="Lienhypertexte"/>
                <w:noProof/>
                <w:lang w:eastAsia="fr-FR"/>
              </w:rPr>
              <w:t>g.</w:t>
            </w:r>
            <w:r>
              <w:rPr>
                <w:rFonts w:asciiTheme="minorHAnsi" w:eastAsiaTheme="minorEastAsia" w:hAnsiTheme="minorHAnsi" w:cstheme="minorBidi"/>
                <w:noProof/>
                <w:kern w:val="0"/>
                <w:lang w:val="fr-CA" w:eastAsia="fr-CA"/>
              </w:rPr>
              <w:tab/>
            </w:r>
            <w:r w:rsidRPr="008C38D6">
              <w:rPr>
                <w:rStyle w:val="Lienhypertexte"/>
                <w:noProof/>
                <w:lang w:eastAsia="fr-FR"/>
              </w:rPr>
              <w:t>Incertitudes</w:t>
            </w:r>
            <w:r>
              <w:rPr>
                <w:noProof/>
                <w:webHidden/>
              </w:rPr>
              <w:tab/>
            </w:r>
            <w:r>
              <w:rPr>
                <w:noProof/>
                <w:webHidden/>
              </w:rPr>
              <w:fldChar w:fldCharType="begin"/>
            </w:r>
            <w:r>
              <w:rPr>
                <w:noProof/>
                <w:webHidden/>
              </w:rPr>
              <w:instrText xml:space="preserve"> PAGEREF _Toc157935487 \h </w:instrText>
            </w:r>
            <w:r>
              <w:rPr>
                <w:noProof/>
                <w:webHidden/>
              </w:rPr>
            </w:r>
            <w:r>
              <w:rPr>
                <w:noProof/>
                <w:webHidden/>
              </w:rPr>
              <w:fldChar w:fldCharType="separate"/>
            </w:r>
            <w:r w:rsidR="00415608">
              <w:rPr>
                <w:noProof/>
                <w:webHidden/>
              </w:rPr>
              <w:t>33</w:t>
            </w:r>
            <w:r>
              <w:rPr>
                <w:noProof/>
                <w:webHidden/>
              </w:rPr>
              <w:fldChar w:fldCharType="end"/>
            </w:r>
          </w:hyperlink>
        </w:p>
        <w:p w14:paraId="437DADDB" w14:textId="44F34476" w:rsidR="00D57578" w:rsidRDefault="00D57578">
          <w:pPr>
            <w:pStyle w:val="TM3"/>
            <w:tabs>
              <w:tab w:val="left" w:pos="880"/>
              <w:tab w:val="right" w:leader="dot" w:pos="9062"/>
            </w:tabs>
            <w:rPr>
              <w:rFonts w:asciiTheme="minorHAnsi" w:eastAsiaTheme="minorEastAsia" w:hAnsiTheme="minorHAnsi" w:cstheme="minorBidi"/>
              <w:noProof/>
              <w:kern w:val="0"/>
              <w:lang w:val="fr-CA" w:eastAsia="fr-CA"/>
            </w:rPr>
          </w:pPr>
          <w:hyperlink w:anchor="_Toc157935488" w:history="1">
            <w:r w:rsidRPr="008C38D6">
              <w:rPr>
                <w:rStyle w:val="Lienhypertexte"/>
                <w:noProof/>
                <w:lang w:eastAsia="fr-FR"/>
              </w:rPr>
              <w:t>h.</w:t>
            </w:r>
            <w:r>
              <w:rPr>
                <w:rFonts w:asciiTheme="minorHAnsi" w:eastAsiaTheme="minorEastAsia" w:hAnsiTheme="minorHAnsi" w:cstheme="minorBidi"/>
                <w:noProof/>
                <w:kern w:val="0"/>
                <w:lang w:val="fr-CA" w:eastAsia="fr-CA"/>
              </w:rPr>
              <w:tab/>
            </w:r>
            <w:r w:rsidRPr="008C38D6">
              <w:rPr>
                <w:rStyle w:val="Lienhypertexte"/>
                <w:noProof/>
                <w:lang w:eastAsia="fr-FR"/>
              </w:rPr>
              <w:t>Assurance et contrôle qualité</w:t>
            </w:r>
            <w:r>
              <w:rPr>
                <w:noProof/>
                <w:webHidden/>
              </w:rPr>
              <w:tab/>
            </w:r>
            <w:r>
              <w:rPr>
                <w:noProof/>
                <w:webHidden/>
              </w:rPr>
              <w:fldChar w:fldCharType="begin"/>
            </w:r>
            <w:r>
              <w:rPr>
                <w:noProof/>
                <w:webHidden/>
              </w:rPr>
              <w:instrText xml:space="preserve"> PAGEREF _Toc157935488 \h </w:instrText>
            </w:r>
            <w:r>
              <w:rPr>
                <w:noProof/>
                <w:webHidden/>
              </w:rPr>
            </w:r>
            <w:r>
              <w:rPr>
                <w:noProof/>
                <w:webHidden/>
              </w:rPr>
              <w:fldChar w:fldCharType="separate"/>
            </w:r>
            <w:r w:rsidR="00415608">
              <w:rPr>
                <w:noProof/>
                <w:webHidden/>
              </w:rPr>
              <w:t>33</w:t>
            </w:r>
            <w:r>
              <w:rPr>
                <w:noProof/>
                <w:webHidden/>
              </w:rPr>
              <w:fldChar w:fldCharType="end"/>
            </w:r>
          </w:hyperlink>
        </w:p>
        <w:p w14:paraId="47838872" w14:textId="7816613B" w:rsidR="00D57578" w:rsidRDefault="00D57578">
          <w:pPr>
            <w:pStyle w:val="TM2"/>
            <w:tabs>
              <w:tab w:val="left" w:pos="880"/>
              <w:tab w:val="right" w:leader="dot" w:pos="9062"/>
            </w:tabs>
            <w:rPr>
              <w:rFonts w:asciiTheme="minorHAnsi" w:eastAsiaTheme="minorEastAsia" w:hAnsiTheme="minorHAnsi" w:cstheme="minorBidi"/>
              <w:b w:val="0"/>
              <w:noProof/>
              <w:kern w:val="0"/>
              <w:sz w:val="22"/>
              <w:szCs w:val="22"/>
              <w:lang w:eastAsia="fr-CA"/>
            </w:rPr>
          </w:pPr>
          <w:hyperlink w:anchor="_Toc157935489" w:history="1">
            <w:r w:rsidRPr="008C38D6">
              <w:rPr>
                <w:rStyle w:val="Lienhypertexte"/>
                <w:noProof/>
              </w:rPr>
              <w:t>18.</w:t>
            </w:r>
            <w:r>
              <w:rPr>
                <w:rFonts w:asciiTheme="minorHAnsi" w:eastAsiaTheme="minorEastAsia" w:hAnsiTheme="minorHAnsi" w:cstheme="minorBidi"/>
                <w:b w:val="0"/>
                <w:noProof/>
                <w:kern w:val="0"/>
                <w:sz w:val="22"/>
                <w:szCs w:val="22"/>
                <w:lang w:eastAsia="fr-CA"/>
              </w:rPr>
              <w:tab/>
            </w:r>
            <w:r w:rsidRPr="008C38D6">
              <w:rPr>
                <w:rStyle w:val="Lienhypertexte"/>
                <w:noProof/>
              </w:rPr>
              <w:t>Émissions des Produits non énergétiques provenant de combustibles et de l’utilisation de solvants : émissions dues à l’usage de lubrifiants</w:t>
            </w:r>
            <w:r>
              <w:rPr>
                <w:noProof/>
                <w:webHidden/>
              </w:rPr>
              <w:tab/>
            </w:r>
            <w:r>
              <w:rPr>
                <w:noProof/>
                <w:webHidden/>
              </w:rPr>
              <w:fldChar w:fldCharType="begin"/>
            </w:r>
            <w:r>
              <w:rPr>
                <w:noProof/>
                <w:webHidden/>
              </w:rPr>
              <w:instrText xml:space="preserve"> PAGEREF _Toc157935489 \h </w:instrText>
            </w:r>
            <w:r>
              <w:rPr>
                <w:noProof/>
                <w:webHidden/>
              </w:rPr>
            </w:r>
            <w:r>
              <w:rPr>
                <w:noProof/>
                <w:webHidden/>
              </w:rPr>
              <w:fldChar w:fldCharType="separate"/>
            </w:r>
            <w:r w:rsidR="00415608">
              <w:rPr>
                <w:noProof/>
                <w:webHidden/>
              </w:rPr>
              <w:t>34</w:t>
            </w:r>
            <w:r>
              <w:rPr>
                <w:noProof/>
                <w:webHidden/>
              </w:rPr>
              <w:fldChar w:fldCharType="end"/>
            </w:r>
          </w:hyperlink>
        </w:p>
        <w:p w14:paraId="1C1647BF" w14:textId="5BB51F69" w:rsidR="00D57578" w:rsidRDefault="00D57578">
          <w:pPr>
            <w:pStyle w:val="TM3"/>
            <w:tabs>
              <w:tab w:val="left" w:pos="880"/>
              <w:tab w:val="right" w:leader="dot" w:pos="9062"/>
            </w:tabs>
            <w:rPr>
              <w:rFonts w:asciiTheme="minorHAnsi" w:eastAsiaTheme="minorEastAsia" w:hAnsiTheme="minorHAnsi" w:cstheme="minorBidi"/>
              <w:noProof/>
              <w:kern w:val="0"/>
              <w:lang w:val="fr-CA" w:eastAsia="fr-CA"/>
            </w:rPr>
          </w:pPr>
          <w:hyperlink w:anchor="_Toc157935490" w:history="1">
            <w:r w:rsidRPr="008C38D6">
              <w:rPr>
                <w:rStyle w:val="Lienhypertexte"/>
                <w:noProof/>
                <w:lang w:eastAsia="fr-FR"/>
              </w:rPr>
              <w:t>i.</w:t>
            </w:r>
            <w:r>
              <w:rPr>
                <w:rFonts w:asciiTheme="minorHAnsi" w:eastAsiaTheme="minorEastAsia" w:hAnsiTheme="minorHAnsi" w:cstheme="minorBidi"/>
                <w:noProof/>
                <w:kern w:val="0"/>
                <w:lang w:val="fr-CA" w:eastAsia="fr-CA"/>
              </w:rPr>
              <w:tab/>
            </w:r>
            <w:r w:rsidRPr="008C38D6">
              <w:rPr>
                <w:rStyle w:val="Lienhypertexte"/>
                <w:noProof/>
                <w:lang w:eastAsia="fr-FR"/>
              </w:rPr>
              <w:t>Incertitudes</w:t>
            </w:r>
            <w:r>
              <w:rPr>
                <w:noProof/>
                <w:webHidden/>
              </w:rPr>
              <w:tab/>
            </w:r>
            <w:r>
              <w:rPr>
                <w:noProof/>
                <w:webHidden/>
              </w:rPr>
              <w:fldChar w:fldCharType="begin"/>
            </w:r>
            <w:r>
              <w:rPr>
                <w:noProof/>
                <w:webHidden/>
              </w:rPr>
              <w:instrText xml:space="preserve"> PAGEREF _Toc157935490 \h </w:instrText>
            </w:r>
            <w:r>
              <w:rPr>
                <w:noProof/>
                <w:webHidden/>
              </w:rPr>
            </w:r>
            <w:r>
              <w:rPr>
                <w:noProof/>
                <w:webHidden/>
              </w:rPr>
              <w:fldChar w:fldCharType="separate"/>
            </w:r>
            <w:r w:rsidR="00415608">
              <w:rPr>
                <w:noProof/>
                <w:webHidden/>
              </w:rPr>
              <w:t>36</w:t>
            </w:r>
            <w:r>
              <w:rPr>
                <w:noProof/>
                <w:webHidden/>
              </w:rPr>
              <w:fldChar w:fldCharType="end"/>
            </w:r>
          </w:hyperlink>
        </w:p>
        <w:p w14:paraId="1DCB250F" w14:textId="11687812" w:rsidR="00D57578" w:rsidRDefault="00D57578">
          <w:pPr>
            <w:pStyle w:val="TM3"/>
            <w:tabs>
              <w:tab w:val="left" w:pos="880"/>
              <w:tab w:val="right" w:leader="dot" w:pos="9062"/>
            </w:tabs>
            <w:rPr>
              <w:rFonts w:asciiTheme="minorHAnsi" w:eastAsiaTheme="minorEastAsia" w:hAnsiTheme="minorHAnsi" w:cstheme="minorBidi"/>
              <w:noProof/>
              <w:kern w:val="0"/>
              <w:lang w:val="fr-CA" w:eastAsia="fr-CA"/>
            </w:rPr>
          </w:pPr>
          <w:hyperlink w:anchor="_Toc157935491" w:history="1">
            <w:r w:rsidRPr="008C38D6">
              <w:rPr>
                <w:rStyle w:val="Lienhypertexte"/>
                <w:noProof/>
                <w:lang w:eastAsia="fr-FR"/>
              </w:rPr>
              <w:t>j.</w:t>
            </w:r>
            <w:r>
              <w:rPr>
                <w:rFonts w:asciiTheme="minorHAnsi" w:eastAsiaTheme="minorEastAsia" w:hAnsiTheme="minorHAnsi" w:cstheme="minorBidi"/>
                <w:noProof/>
                <w:kern w:val="0"/>
                <w:lang w:val="fr-CA" w:eastAsia="fr-CA"/>
              </w:rPr>
              <w:tab/>
            </w:r>
            <w:r w:rsidRPr="008C38D6">
              <w:rPr>
                <w:rStyle w:val="Lienhypertexte"/>
                <w:noProof/>
                <w:lang w:eastAsia="fr-FR"/>
              </w:rPr>
              <w:t>Assurance et contrôle qualité</w:t>
            </w:r>
            <w:r>
              <w:rPr>
                <w:noProof/>
                <w:webHidden/>
              </w:rPr>
              <w:tab/>
            </w:r>
            <w:r>
              <w:rPr>
                <w:noProof/>
                <w:webHidden/>
              </w:rPr>
              <w:fldChar w:fldCharType="begin"/>
            </w:r>
            <w:r>
              <w:rPr>
                <w:noProof/>
                <w:webHidden/>
              </w:rPr>
              <w:instrText xml:space="preserve"> PAGEREF _Toc157935491 \h </w:instrText>
            </w:r>
            <w:r>
              <w:rPr>
                <w:noProof/>
                <w:webHidden/>
              </w:rPr>
            </w:r>
            <w:r>
              <w:rPr>
                <w:noProof/>
                <w:webHidden/>
              </w:rPr>
              <w:fldChar w:fldCharType="separate"/>
            </w:r>
            <w:r w:rsidR="00415608">
              <w:rPr>
                <w:noProof/>
                <w:webHidden/>
              </w:rPr>
              <w:t>36</w:t>
            </w:r>
            <w:r>
              <w:rPr>
                <w:noProof/>
                <w:webHidden/>
              </w:rPr>
              <w:fldChar w:fldCharType="end"/>
            </w:r>
          </w:hyperlink>
        </w:p>
        <w:p w14:paraId="15596C8B" w14:textId="0B791BDD" w:rsidR="00D57578" w:rsidRDefault="00D57578">
          <w:pPr>
            <w:pStyle w:val="TM3"/>
            <w:tabs>
              <w:tab w:val="left" w:pos="1100"/>
              <w:tab w:val="right" w:leader="dot" w:pos="9062"/>
            </w:tabs>
            <w:rPr>
              <w:rFonts w:asciiTheme="minorHAnsi" w:eastAsiaTheme="minorEastAsia" w:hAnsiTheme="minorHAnsi" w:cstheme="minorBidi"/>
              <w:noProof/>
              <w:kern w:val="0"/>
              <w:lang w:val="fr-CA" w:eastAsia="fr-CA"/>
            </w:rPr>
          </w:pPr>
          <w:hyperlink w:anchor="_Toc157935492" w:history="1">
            <w:r w:rsidRPr="008C38D6">
              <w:rPr>
                <w:rStyle w:val="Lienhypertexte"/>
                <w:noProof/>
              </w:rPr>
              <w:t>19.</w:t>
            </w:r>
            <w:r>
              <w:rPr>
                <w:rFonts w:asciiTheme="minorHAnsi" w:eastAsiaTheme="minorEastAsia" w:hAnsiTheme="minorHAnsi" w:cstheme="minorBidi"/>
                <w:noProof/>
                <w:kern w:val="0"/>
                <w:lang w:val="fr-CA" w:eastAsia="fr-CA"/>
              </w:rPr>
              <w:tab/>
            </w:r>
            <w:r w:rsidRPr="008C38D6">
              <w:rPr>
                <w:rStyle w:val="Lienhypertexte"/>
                <w:noProof/>
              </w:rPr>
              <w:t>Émissions de COVNM liées à l’usage d’asphalte</w:t>
            </w:r>
            <w:r>
              <w:rPr>
                <w:noProof/>
                <w:webHidden/>
              </w:rPr>
              <w:tab/>
            </w:r>
            <w:r>
              <w:rPr>
                <w:noProof/>
                <w:webHidden/>
              </w:rPr>
              <w:fldChar w:fldCharType="begin"/>
            </w:r>
            <w:r>
              <w:rPr>
                <w:noProof/>
                <w:webHidden/>
              </w:rPr>
              <w:instrText xml:space="preserve"> PAGEREF _Toc157935492 \h </w:instrText>
            </w:r>
            <w:r>
              <w:rPr>
                <w:noProof/>
                <w:webHidden/>
              </w:rPr>
            </w:r>
            <w:r>
              <w:rPr>
                <w:noProof/>
                <w:webHidden/>
              </w:rPr>
              <w:fldChar w:fldCharType="separate"/>
            </w:r>
            <w:r w:rsidR="00415608">
              <w:rPr>
                <w:noProof/>
                <w:webHidden/>
              </w:rPr>
              <w:t>36</w:t>
            </w:r>
            <w:r>
              <w:rPr>
                <w:noProof/>
                <w:webHidden/>
              </w:rPr>
              <w:fldChar w:fldCharType="end"/>
            </w:r>
          </w:hyperlink>
        </w:p>
        <w:p w14:paraId="22A5DDE6" w14:textId="575030B8" w:rsidR="00D57578" w:rsidRDefault="00D57578">
          <w:pPr>
            <w:pStyle w:val="TM3"/>
            <w:tabs>
              <w:tab w:val="left" w:pos="880"/>
              <w:tab w:val="right" w:leader="dot" w:pos="9062"/>
            </w:tabs>
            <w:rPr>
              <w:rFonts w:asciiTheme="minorHAnsi" w:eastAsiaTheme="minorEastAsia" w:hAnsiTheme="minorHAnsi" w:cstheme="minorBidi"/>
              <w:noProof/>
              <w:kern w:val="0"/>
              <w:lang w:val="fr-CA" w:eastAsia="fr-CA"/>
            </w:rPr>
          </w:pPr>
          <w:hyperlink w:anchor="_Toc157935493" w:history="1">
            <w:r w:rsidRPr="008C38D6">
              <w:rPr>
                <w:rStyle w:val="Lienhypertexte"/>
                <w:noProof/>
                <w:lang w:eastAsia="fr-FR"/>
              </w:rPr>
              <w:t>k.</w:t>
            </w:r>
            <w:r>
              <w:rPr>
                <w:rFonts w:asciiTheme="minorHAnsi" w:eastAsiaTheme="minorEastAsia" w:hAnsiTheme="minorHAnsi" w:cstheme="minorBidi"/>
                <w:noProof/>
                <w:kern w:val="0"/>
                <w:lang w:val="fr-CA" w:eastAsia="fr-CA"/>
              </w:rPr>
              <w:tab/>
            </w:r>
            <w:r w:rsidRPr="008C38D6">
              <w:rPr>
                <w:rStyle w:val="Lienhypertexte"/>
                <w:noProof/>
                <w:lang w:eastAsia="fr-FR"/>
              </w:rPr>
              <w:t>Incertitudes</w:t>
            </w:r>
            <w:r>
              <w:rPr>
                <w:noProof/>
                <w:webHidden/>
              </w:rPr>
              <w:tab/>
            </w:r>
            <w:r>
              <w:rPr>
                <w:noProof/>
                <w:webHidden/>
              </w:rPr>
              <w:fldChar w:fldCharType="begin"/>
            </w:r>
            <w:r>
              <w:rPr>
                <w:noProof/>
                <w:webHidden/>
              </w:rPr>
              <w:instrText xml:space="preserve"> PAGEREF _Toc157935493 \h </w:instrText>
            </w:r>
            <w:r>
              <w:rPr>
                <w:noProof/>
                <w:webHidden/>
              </w:rPr>
            </w:r>
            <w:r>
              <w:rPr>
                <w:noProof/>
                <w:webHidden/>
              </w:rPr>
              <w:fldChar w:fldCharType="separate"/>
            </w:r>
            <w:r w:rsidR="00415608">
              <w:rPr>
                <w:noProof/>
                <w:webHidden/>
              </w:rPr>
              <w:t>36</w:t>
            </w:r>
            <w:r>
              <w:rPr>
                <w:noProof/>
                <w:webHidden/>
              </w:rPr>
              <w:fldChar w:fldCharType="end"/>
            </w:r>
          </w:hyperlink>
        </w:p>
        <w:p w14:paraId="503E8C62" w14:textId="0B18ADAE" w:rsidR="00D57578" w:rsidRDefault="00D57578">
          <w:pPr>
            <w:pStyle w:val="TM3"/>
            <w:tabs>
              <w:tab w:val="left" w:pos="880"/>
              <w:tab w:val="right" w:leader="dot" w:pos="9062"/>
            </w:tabs>
            <w:rPr>
              <w:rFonts w:asciiTheme="minorHAnsi" w:eastAsiaTheme="minorEastAsia" w:hAnsiTheme="minorHAnsi" w:cstheme="minorBidi"/>
              <w:noProof/>
              <w:kern w:val="0"/>
              <w:lang w:val="fr-CA" w:eastAsia="fr-CA"/>
            </w:rPr>
          </w:pPr>
          <w:hyperlink w:anchor="_Toc157935494" w:history="1">
            <w:r w:rsidRPr="008C38D6">
              <w:rPr>
                <w:rStyle w:val="Lienhypertexte"/>
                <w:noProof/>
                <w:lang w:eastAsia="fr-FR"/>
              </w:rPr>
              <w:t>l.</w:t>
            </w:r>
            <w:r>
              <w:rPr>
                <w:rFonts w:asciiTheme="minorHAnsi" w:eastAsiaTheme="minorEastAsia" w:hAnsiTheme="minorHAnsi" w:cstheme="minorBidi"/>
                <w:noProof/>
                <w:kern w:val="0"/>
                <w:lang w:val="fr-CA" w:eastAsia="fr-CA"/>
              </w:rPr>
              <w:tab/>
            </w:r>
            <w:r w:rsidRPr="008C38D6">
              <w:rPr>
                <w:rStyle w:val="Lienhypertexte"/>
                <w:noProof/>
                <w:lang w:eastAsia="fr-FR"/>
              </w:rPr>
              <w:t>Assurance et contrôle qualité</w:t>
            </w:r>
            <w:r>
              <w:rPr>
                <w:noProof/>
                <w:webHidden/>
              </w:rPr>
              <w:tab/>
            </w:r>
            <w:r>
              <w:rPr>
                <w:noProof/>
                <w:webHidden/>
              </w:rPr>
              <w:fldChar w:fldCharType="begin"/>
            </w:r>
            <w:r>
              <w:rPr>
                <w:noProof/>
                <w:webHidden/>
              </w:rPr>
              <w:instrText xml:space="preserve"> PAGEREF _Toc157935494 \h </w:instrText>
            </w:r>
            <w:r>
              <w:rPr>
                <w:noProof/>
                <w:webHidden/>
              </w:rPr>
            </w:r>
            <w:r>
              <w:rPr>
                <w:noProof/>
                <w:webHidden/>
              </w:rPr>
              <w:fldChar w:fldCharType="separate"/>
            </w:r>
            <w:r w:rsidR="00415608">
              <w:rPr>
                <w:noProof/>
                <w:webHidden/>
              </w:rPr>
              <w:t>37</w:t>
            </w:r>
            <w:r>
              <w:rPr>
                <w:noProof/>
                <w:webHidden/>
              </w:rPr>
              <w:fldChar w:fldCharType="end"/>
            </w:r>
          </w:hyperlink>
        </w:p>
        <w:p w14:paraId="0A9C5E8D" w14:textId="3AF37206" w:rsidR="00D57578" w:rsidRDefault="00D57578">
          <w:pPr>
            <w:pStyle w:val="TM3"/>
            <w:tabs>
              <w:tab w:val="left" w:pos="1100"/>
              <w:tab w:val="right" w:leader="dot" w:pos="9062"/>
            </w:tabs>
            <w:rPr>
              <w:rFonts w:asciiTheme="minorHAnsi" w:eastAsiaTheme="minorEastAsia" w:hAnsiTheme="minorHAnsi" w:cstheme="minorBidi"/>
              <w:noProof/>
              <w:kern w:val="0"/>
              <w:lang w:val="fr-CA" w:eastAsia="fr-CA"/>
            </w:rPr>
          </w:pPr>
          <w:hyperlink w:anchor="_Toc157935495" w:history="1">
            <w:r w:rsidRPr="008C38D6">
              <w:rPr>
                <w:rStyle w:val="Lienhypertexte"/>
                <w:noProof/>
              </w:rPr>
              <w:t>20.</w:t>
            </w:r>
            <w:r>
              <w:rPr>
                <w:rFonts w:asciiTheme="minorHAnsi" w:eastAsiaTheme="minorEastAsia" w:hAnsiTheme="minorHAnsi" w:cstheme="minorBidi"/>
                <w:noProof/>
                <w:kern w:val="0"/>
                <w:lang w:val="fr-CA" w:eastAsia="fr-CA"/>
              </w:rPr>
              <w:tab/>
            </w:r>
            <w:r w:rsidRPr="008C38D6">
              <w:rPr>
                <w:rStyle w:val="Lienhypertexte"/>
                <w:noProof/>
              </w:rPr>
              <w:t>Evolutions comparées des émissions de CO2 et COVNM</w:t>
            </w:r>
            <w:r>
              <w:rPr>
                <w:noProof/>
                <w:webHidden/>
              </w:rPr>
              <w:tab/>
            </w:r>
            <w:r>
              <w:rPr>
                <w:noProof/>
                <w:webHidden/>
              </w:rPr>
              <w:fldChar w:fldCharType="begin"/>
            </w:r>
            <w:r>
              <w:rPr>
                <w:noProof/>
                <w:webHidden/>
              </w:rPr>
              <w:instrText xml:space="preserve"> PAGEREF _Toc157935495 \h </w:instrText>
            </w:r>
            <w:r>
              <w:rPr>
                <w:noProof/>
                <w:webHidden/>
              </w:rPr>
            </w:r>
            <w:r>
              <w:rPr>
                <w:noProof/>
                <w:webHidden/>
              </w:rPr>
              <w:fldChar w:fldCharType="separate"/>
            </w:r>
            <w:r w:rsidR="00415608">
              <w:rPr>
                <w:noProof/>
                <w:webHidden/>
              </w:rPr>
              <w:t>37</w:t>
            </w:r>
            <w:r>
              <w:rPr>
                <w:noProof/>
                <w:webHidden/>
              </w:rPr>
              <w:fldChar w:fldCharType="end"/>
            </w:r>
          </w:hyperlink>
        </w:p>
        <w:p w14:paraId="2BE3FD9F" w14:textId="0AEF1E19" w:rsidR="00D57578" w:rsidRDefault="00D57578">
          <w:pPr>
            <w:pStyle w:val="TM2"/>
            <w:tabs>
              <w:tab w:val="left" w:pos="880"/>
              <w:tab w:val="right" w:leader="dot" w:pos="9062"/>
            </w:tabs>
            <w:rPr>
              <w:rFonts w:asciiTheme="minorHAnsi" w:eastAsiaTheme="minorEastAsia" w:hAnsiTheme="minorHAnsi" w:cstheme="minorBidi"/>
              <w:b w:val="0"/>
              <w:noProof/>
              <w:kern w:val="0"/>
              <w:sz w:val="22"/>
              <w:szCs w:val="22"/>
              <w:lang w:eastAsia="fr-CA"/>
            </w:rPr>
          </w:pPr>
          <w:hyperlink w:anchor="_Toc157935496" w:history="1">
            <w:r w:rsidRPr="008C38D6">
              <w:rPr>
                <w:rStyle w:val="Lienhypertexte"/>
                <w:noProof/>
              </w:rPr>
              <w:t>21.</w:t>
            </w:r>
            <w:r>
              <w:rPr>
                <w:rFonts w:asciiTheme="minorHAnsi" w:eastAsiaTheme="minorEastAsia" w:hAnsiTheme="minorHAnsi" w:cstheme="minorBidi"/>
                <w:b w:val="0"/>
                <w:noProof/>
                <w:kern w:val="0"/>
                <w:sz w:val="22"/>
                <w:szCs w:val="22"/>
                <w:lang w:eastAsia="fr-CA"/>
              </w:rPr>
              <w:tab/>
            </w:r>
            <w:r w:rsidRPr="008C38D6">
              <w:rPr>
                <w:rStyle w:val="Lienhypertexte"/>
                <w:noProof/>
              </w:rPr>
              <w:t>Émissions dues à l’utilisation de produits substituts de SAO</w:t>
            </w:r>
            <w:r>
              <w:rPr>
                <w:noProof/>
                <w:webHidden/>
              </w:rPr>
              <w:tab/>
            </w:r>
            <w:r>
              <w:rPr>
                <w:noProof/>
                <w:webHidden/>
              </w:rPr>
              <w:fldChar w:fldCharType="begin"/>
            </w:r>
            <w:r>
              <w:rPr>
                <w:noProof/>
                <w:webHidden/>
              </w:rPr>
              <w:instrText xml:space="preserve"> PAGEREF _Toc157935496 \h </w:instrText>
            </w:r>
            <w:r>
              <w:rPr>
                <w:noProof/>
                <w:webHidden/>
              </w:rPr>
            </w:r>
            <w:r>
              <w:rPr>
                <w:noProof/>
                <w:webHidden/>
              </w:rPr>
              <w:fldChar w:fldCharType="separate"/>
            </w:r>
            <w:r w:rsidR="00415608">
              <w:rPr>
                <w:noProof/>
                <w:webHidden/>
              </w:rPr>
              <w:t>37</w:t>
            </w:r>
            <w:r>
              <w:rPr>
                <w:noProof/>
                <w:webHidden/>
              </w:rPr>
              <w:fldChar w:fldCharType="end"/>
            </w:r>
          </w:hyperlink>
        </w:p>
        <w:p w14:paraId="648591A7" w14:textId="60C14512" w:rsidR="00D57578" w:rsidRDefault="00D57578">
          <w:pPr>
            <w:pStyle w:val="TM3"/>
            <w:tabs>
              <w:tab w:val="left" w:pos="1100"/>
              <w:tab w:val="right" w:leader="dot" w:pos="9062"/>
            </w:tabs>
            <w:rPr>
              <w:rFonts w:asciiTheme="minorHAnsi" w:eastAsiaTheme="minorEastAsia" w:hAnsiTheme="minorHAnsi" w:cstheme="minorBidi"/>
              <w:noProof/>
              <w:kern w:val="0"/>
              <w:lang w:val="fr-CA" w:eastAsia="fr-CA"/>
            </w:rPr>
          </w:pPr>
          <w:hyperlink w:anchor="_Toc157935497" w:history="1">
            <w:r w:rsidRPr="008C38D6">
              <w:rPr>
                <w:rStyle w:val="Lienhypertexte"/>
                <w:noProof/>
                <w:lang w:eastAsia="fr-FR"/>
              </w:rPr>
              <w:t>m.</w:t>
            </w:r>
            <w:r>
              <w:rPr>
                <w:rFonts w:asciiTheme="minorHAnsi" w:eastAsiaTheme="minorEastAsia" w:hAnsiTheme="minorHAnsi" w:cstheme="minorBidi"/>
                <w:noProof/>
                <w:kern w:val="0"/>
                <w:lang w:val="fr-CA" w:eastAsia="fr-CA"/>
              </w:rPr>
              <w:tab/>
            </w:r>
            <w:r w:rsidRPr="008C38D6">
              <w:rPr>
                <w:rStyle w:val="Lienhypertexte"/>
                <w:noProof/>
                <w:lang w:eastAsia="fr-FR"/>
              </w:rPr>
              <w:t>Incertitudes</w:t>
            </w:r>
            <w:r>
              <w:rPr>
                <w:noProof/>
                <w:webHidden/>
              </w:rPr>
              <w:tab/>
            </w:r>
            <w:r>
              <w:rPr>
                <w:noProof/>
                <w:webHidden/>
              </w:rPr>
              <w:fldChar w:fldCharType="begin"/>
            </w:r>
            <w:r>
              <w:rPr>
                <w:noProof/>
                <w:webHidden/>
              </w:rPr>
              <w:instrText xml:space="preserve"> PAGEREF _Toc157935497 \h </w:instrText>
            </w:r>
            <w:r>
              <w:rPr>
                <w:noProof/>
                <w:webHidden/>
              </w:rPr>
            </w:r>
            <w:r>
              <w:rPr>
                <w:noProof/>
                <w:webHidden/>
              </w:rPr>
              <w:fldChar w:fldCharType="separate"/>
            </w:r>
            <w:r w:rsidR="00415608">
              <w:rPr>
                <w:noProof/>
                <w:webHidden/>
              </w:rPr>
              <w:t>38</w:t>
            </w:r>
            <w:r>
              <w:rPr>
                <w:noProof/>
                <w:webHidden/>
              </w:rPr>
              <w:fldChar w:fldCharType="end"/>
            </w:r>
          </w:hyperlink>
        </w:p>
        <w:p w14:paraId="7331AC26" w14:textId="6225194E" w:rsidR="00D57578" w:rsidRDefault="00D57578">
          <w:pPr>
            <w:pStyle w:val="TM3"/>
            <w:tabs>
              <w:tab w:val="left" w:pos="880"/>
              <w:tab w:val="right" w:leader="dot" w:pos="9062"/>
            </w:tabs>
            <w:rPr>
              <w:rFonts w:asciiTheme="minorHAnsi" w:eastAsiaTheme="minorEastAsia" w:hAnsiTheme="minorHAnsi" w:cstheme="minorBidi"/>
              <w:noProof/>
              <w:kern w:val="0"/>
              <w:lang w:val="fr-CA" w:eastAsia="fr-CA"/>
            </w:rPr>
          </w:pPr>
          <w:hyperlink w:anchor="_Toc157935498" w:history="1">
            <w:r w:rsidRPr="008C38D6">
              <w:rPr>
                <w:rStyle w:val="Lienhypertexte"/>
                <w:noProof/>
                <w:lang w:eastAsia="fr-FR"/>
              </w:rPr>
              <w:t>n.</w:t>
            </w:r>
            <w:r>
              <w:rPr>
                <w:rFonts w:asciiTheme="minorHAnsi" w:eastAsiaTheme="minorEastAsia" w:hAnsiTheme="minorHAnsi" w:cstheme="minorBidi"/>
                <w:noProof/>
                <w:kern w:val="0"/>
                <w:lang w:val="fr-CA" w:eastAsia="fr-CA"/>
              </w:rPr>
              <w:tab/>
            </w:r>
            <w:r w:rsidRPr="008C38D6">
              <w:rPr>
                <w:rStyle w:val="Lienhypertexte"/>
                <w:noProof/>
                <w:lang w:eastAsia="fr-FR"/>
              </w:rPr>
              <w:t>Assurance et contrôle qualité</w:t>
            </w:r>
            <w:r>
              <w:rPr>
                <w:noProof/>
                <w:webHidden/>
              </w:rPr>
              <w:tab/>
            </w:r>
            <w:r>
              <w:rPr>
                <w:noProof/>
                <w:webHidden/>
              </w:rPr>
              <w:fldChar w:fldCharType="begin"/>
            </w:r>
            <w:r>
              <w:rPr>
                <w:noProof/>
                <w:webHidden/>
              </w:rPr>
              <w:instrText xml:space="preserve"> PAGEREF _Toc157935498 \h </w:instrText>
            </w:r>
            <w:r>
              <w:rPr>
                <w:noProof/>
                <w:webHidden/>
              </w:rPr>
            </w:r>
            <w:r>
              <w:rPr>
                <w:noProof/>
                <w:webHidden/>
              </w:rPr>
              <w:fldChar w:fldCharType="separate"/>
            </w:r>
            <w:r w:rsidR="00415608">
              <w:rPr>
                <w:noProof/>
                <w:webHidden/>
              </w:rPr>
              <w:t>38</w:t>
            </w:r>
            <w:r>
              <w:rPr>
                <w:noProof/>
                <w:webHidden/>
              </w:rPr>
              <w:fldChar w:fldCharType="end"/>
            </w:r>
          </w:hyperlink>
        </w:p>
        <w:p w14:paraId="53A63101" w14:textId="3217C71F" w:rsidR="00D57578" w:rsidRDefault="00D57578">
          <w:pPr>
            <w:pStyle w:val="TM1"/>
            <w:rPr>
              <w:rFonts w:asciiTheme="minorHAnsi" w:eastAsiaTheme="minorEastAsia" w:hAnsiTheme="minorHAnsi" w:cstheme="minorBidi"/>
              <w:noProof/>
              <w:kern w:val="0"/>
              <w:sz w:val="22"/>
              <w:szCs w:val="22"/>
              <w:lang w:eastAsia="fr-CA"/>
            </w:rPr>
          </w:pPr>
          <w:hyperlink w:anchor="_Toc157935499" w:history="1">
            <w:r w:rsidRPr="008C38D6">
              <w:rPr>
                <w:rStyle w:val="Lienhypertexte"/>
                <w:bCs/>
                <w:noProof/>
              </w:rPr>
              <w:t>X.</w:t>
            </w:r>
            <w:r>
              <w:rPr>
                <w:rFonts w:asciiTheme="minorHAnsi" w:eastAsiaTheme="minorEastAsia" w:hAnsiTheme="minorHAnsi" w:cstheme="minorBidi"/>
                <w:noProof/>
                <w:kern w:val="0"/>
                <w:sz w:val="22"/>
                <w:szCs w:val="22"/>
                <w:lang w:eastAsia="fr-CA"/>
              </w:rPr>
              <w:tab/>
            </w:r>
            <w:r w:rsidRPr="008C38D6">
              <w:rPr>
                <w:rStyle w:val="Lienhypertexte"/>
                <w:noProof/>
              </w:rPr>
              <w:t>Conclusion</w:t>
            </w:r>
            <w:r>
              <w:rPr>
                <w:noProof/>
                <w:webHidden/>
              </w:rPr>
              <w:tab/>
            </w:r>
            <w:r>
              <w:rPr>
                <w:noProof/>
                <w:webHidden/>
              </w:rPr>
              <w:fldChar w:fldCharType="begin"/>
            </w:r>
            <w:r>
              <w:rPr>
                <w:noProof/>
                <w:webHidden/>
              </w:rPr>
              <w:instrText xml:space="preserve"> PAGEREF _Toc157935499 \h </w:instrText>
            </w:r>
            <w:r>
              <w:rPr>
                <w:noProof/>
                <w:webHidden/>
              </w:rPr>
            </w:r>
            <w:r>
              <w:rPr>
                <w:noProof/>
                <w:webHidden/>
              </w:rPr>
              <w:fldChar w:fldCharType="separate"/>
            </w:r>
            <w:r w:rsidR="00415608">
              <w:rPr>
                <w:noProof/>
                <w:webHidden/>
              </w:rPr>
              <w:t>38</w:t>
            </w:r>
            <w:r>
              <w:rPr>
                <w:noProof/>
                <w:webHidden/>
              </w:rPr>
              <w:fldChar w:fldCharType="end"/>
            </w:r>
          </w:hyperlink>
        </w:p>
        <w:p w14:paraId="6D5A6BEA" w14:textId="29B2CF4D" w:rsidR="00BC2557" w:rsidRDefault="00BC2557">
          <w:r>
            <w:rPr>
              <w:b/>
              <w:bCs/>
            </w:rPr>
            <w:fldChar w:fldCharType="end"/>
          </w:r>
        </w:p>
      </w:sdtContent>
    </w:sdt>
    <w:p w14:paraId="5B5DE9A6" w14:textId="14A3B314" w:rsidR="00F27423" w:rsidRDefault="00F27423">
      <w:pPr>
        <w:jc w:val="both"/>
        <w:rPr>
          <w:rFonts w:ascii="Times New Roman" w:hAnsi="Times New Roman" w:cs="Times New Roman"/>
          <w:color w:val="000000" w:themeColor="text1"/>
        </w:rPr>
      </w:pPr>
    </w:p>
    <w:p w14:paraId="6719C2A8" w14:textId="624D904E" w:rsidR="00D57578" w:rsidRDefault="00D57578">
      <w:pPr>
        <w:jc w:val="both"/>
        <w:rPr>
          <w:rFonts w:ascii="Times New Roman" w:hAnsi="Times New Roman" w:cs="Times New Roman"/>
          <w:color w:val="000000" w:themeColor="text1"/>
        </w:rPr>
      </w:pPr>
    </w:p>
    <w:p w14:paraId="54A5E20B" w14:textId="7ADD9470" w:rsidR="00D57578" w:rsidRDefault="00D57578">
      <w:pPr>
        <w:jc w:val="both"/>
        <w:rPr>
          <w:rFonts w:ascii="Times New Roman" w:hAnsi="Times New Roman" w:cs="Times New Roman"/>
          <w:color w:val="000000" w:themeColor="text1"/>
        </w:rPr>
      </w:pPr>
    </w:p>
    <w:p w14:paraId="219481BA" w14:textId="59418BEB" w:rsidR="00D57578" w:rsidRDefault="00D57578">
      <w:pPr>
        <w:jc w:val="both"/>
        <w:rPr>
          <w:rFonts w:ascii="Times New Roman" w:hAnsi="Times New Roman" w:cs="Times New Roman"/>
          <w:color w:val="000000" w:themeColor="text1"/>
        </w:rPr>
      </w:pPr>
    </w:p>
    <w:p w14:paraId="42A19DEC" w14:textId="4D34419F" w:rsidR="00D57578" w:rsidRDefault="00D57578">
      <w:pPr>
        <w:jc w:val="both"/>
        <w:rPr>
          <w:rFonts w:ascii="Times New Roman" w:hAnsi="Times New Roman" w:cs="Times New Roman"/>
          <w:color w:val="000000" w:themeColor="text1"/>
        </w:rPr>
      </w:pPr>
    </w:p>
    <w:p w14:paraId="68C65743" w14:textId="1C0E91C3" w:rsidR="00D57578" w:rsidRDefault="00D57578">
      <w:pPr>
        <w:jc w:val="both"/>
        <w:rPr>
          <w:rFonts w:ascii="Times New Roman" w:hAnsi="Times New Roman" w:cs="Times New Roman"/>
          <w:color w:val="000000" w:themeColor="text1"/>
        </w:rPr>
      </w:pPr>
    </w:p>
    <w:p w14:paraId="75FAB94F" w14:textId="2EA3F2E0" w:rsidR="00D57578" w:rsidRDefault="00D57578">
      <w:pPr>
        <w:jc w:val="both"/>
        <w:rPr>
          <w:rFonts w:ascii="Times New Roman" w:hAnsi="Times New Roman" w:cs="Times New Roman"/>
          <w:color w:val="000000" w:themeColor="text1"/>
        </w:rPr>
      </w:pPr>
    </w:p>
    <w:p w14:paraId="62A959DC" w14:textId="15E928A3" w:rsidR="00D57578" w:rsidRDefault="00D57578">
      <w:pPr>
        <w:jc w:val="both"/>
        <w:rPr>
          <w:rFonts w:ascii="Times New Roman" w:hAnsi="Times New Roman" w:cs="Times New Roman"/>
          <w:color w:val="000000" w:themeColor="text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374"/>
        <w:gridCol w:w="7075"/>
        <w:gridCol w:w="52"/>
      </w:tblGrid>
      <w:tr w:rsidR="00915B33" w:rsidRPr="00915B33" w14:paraId="38D7137D" w14:textId="77777777" w:rsidTr="0065285D">
        <w:tc>
          <w:tcPr>
            <w:tcW w:w="1181" w:type="dxa"/>
          </w:tcPr>
          <w:p w14:paraId="7C680E29" w14:textId="77777777" w:rsidR="0065285D" w:rsidRPr="00915B33" w:rsidRDefault="0065285D" w:rsidP="00BC2557">
            <w:pPr>
              <w:jc w:val="center"/>
              <w:outlineLvl w:val="0"/>
              <w:rPr>
                <w:rFonts w:ascii="Times New Roman" w:hAnsi="Times New Roman" w:cs="Times New Roman"/>
                <w:b/>
                <w:bCs/>
                <w:color w:val="000000" w:themeColor="text1"/>
              </w:rPr>
            </w:pPr>
          </w:p>
        </w:tc>
        <w:tc>
          <w:tcPr>
            <w:tcW w:w="7501" w:type="dxa"/>
            <w:gridSpan w:val="3"/>
          </w:tcPr>
          <w:p w14:paraId="3EF42FB5" w14:textId="7FCCF147" w:rsidR="0065285D" w:rsidRPr="00915B33" w:rsidRDefault="0065285D" w:rsidP="00BC2557">
            <w:pPr>
              <w:pStyle w:val="Grandtitre"/>
              <w:outlineLvl w:val="0"/>
            </w:pPr>
            <w:bookmarkStart w:id="0" w:name="_Toc157935456"/>
            <w:r w:rsidRPr="00915B33">
              <w:t>LISTE DES ACRONYMES</w:t>
            </w:r>
            <w:bookmarkEnd w:id="0"/>
          </w:p>
        </w:tc>
      </w:tr>
      <w:tr w:rsidR="00915B33" w:rsidRPr="00915B33" w14:paraId="24EC0D3A" w14:textId="77777777" w:rsidTr="0065285D">
        <w:tc>
          <w:tcPr>
            <w:tcW w:w="1181" w:type="dxa"/>
          </w:tcPr>
          <w:p w14:paraId="2E1368FE" w14:textId="77777777" w:rsidR="0065285D" w:rsidRPr="00915B33" w:rsidRDefault="0065285D" w:rsidP="00F118C9">
            <w:pPr>
              <w:rPr>
                <w:color w:val="000000" w:themeColor="text1"/>
              </w:rPr>
            </w:pPr>
            <w:r w:rsidRPr="00915B33">
              <w:rPr>
                <w:rFonts w:ascii="Times New Roman" w:hAnsi="Times New Roman" w:cs="Times New Roman"/>
                <w:color w:val="000000" w:themeColor="text1"/>
              </w:rPr>
              <w:t>AR4 </w:t>
            </w:r>
          </w:p>
        </w:tc>
        <w:tc>
          <w:tcPr>
            <w:tcW w:w="7501" w:type="dxa"/>
            <w:gridSpan w:val="3"/>
          </w:tcPr>
          <w:p w14:paraId="39AFB629" w14:textId="77777777" w:rsidR="0065285D" w:rsidRPr="00915B33" w:rsidRDefault="0065285D" w:rsidP="00F118C9">
            <w:pPr>
              <w:tabs>
                <w:tab w:val="left" w:pos="993"/>
              </w:tabs>
              <w:jc w:val="both"/>
              <w:rPr>
                <w:color w:val="000000" w:themeColor="text1"/>
              </w:rPr>
            </w:pPr>
            <w:r w:rsidRPr="00915B33">
              <w:rPr>
                <w:rFonts w:ascii="Times New Roman" w:hAnsi="Times New Roman" w:cs="Times New Roman"/>
                <w:color w:val="000000" w:themeColor="text1"/>
              </w:rPr>
              <w:t>Quatrième rapport d’évaluation</w:t>
            </w:r>
          </w:p>
        </w:tc>
      </w:tr>
      <w:tr w:rsidR="00915B33" w:rsidRPr="00915B33" w14:paraId="597BD14C" w14:textId="77777777" w:rsidTr="0065285D">
        <w:tc>
          <w:tcPr>
            <w:tcW w:w="1181" w:type="dxa"/>
          </w:tcPr>
          <w:p w14:paraId="0EC424BE" w14:textId="77777777" w:rsidR="0065285D" w:rsidRPr="00915B33" w:rsidRDefault="0065285D" w:rsidP="00F118C9">
            <w:pPr>
              <w:rPr>
                <w:color w:val="000000" w:themeColor="text1"/>
              </w:rPr>
            </w:pPr>
            <w:r w:rsidRPr="00915B33">
              <w:rPr>
                <w:rFonts w:ascii="Times New Roman" w:hAnsi="Times New Roman" w:cs="Times New Roman"/>
                <w:color w:val="000000" w:themeColor="text1"/>
              </w:rPr>
              <w:t>ATTM </w:t>
            </w:r>
          </w:p>
        </w:tc>
        <w:tc>
          <w:tcPr>
            <w:tcW w:w="7501" w:type="dxa"/>
            <w:gridSpan w:val="3"/>
          </w:tcPr>
          <w:p w14:paraId="15C2491E" w14:textId="77777777" w:rsidR="0065285D" w:rsidRPr="00915B33" w:rsidRDefault="0065285D" w:rsidP="00F118C9">
            <w:pPr>
              <w:jc w:val="both"/>
              <w:rPr>
                <w:color w:val="000000" w:themeColor="text1"/>
              </w:rPr>
            </w:pPr>
            <w:r w:rsidRPr="00915B33">
              <w:rPr>
                <w:rFonts w:ascii="Times New Roman" w:hAnsi="Times New Roman" w:cs="Times New Roman"/>
                <w:color w:val="000000" w:themeColor="text1"/>
              </w:rPr>
              <w:t>Société d’Assainissement, de Travaux, de Transport et de Maintenance</w:t>
            </w:r>
          </w:p>
        </w:tc>
      </w:tr>
      <w:tr w:rsidR="00915B33" w:rsidRPr="00915B33" w14:paraId="561F36B5" w14:textId="77777777" w:rsidTr="0065285D">
        <w:tc>
          <w:tcPr>
            <w:tcW w:w="1181" w:type="dxa"/>
          </w:tcPr>
          <w:p w14:paraId="7E1942CC" w14:textId="77777777" w:rsidR="0065285D" w:rsidRPr="00915B33" w:rsidRDefault="0065285D" w:rsidP="00F118C9">
            <w:pPr>
              <w:rPr>
                <w:color w:val="000000" w:themeColor="text1"/>
              </w:rPr>
            </w:pPr>
            <w:r w:rsidRPr="00915B33">
              <w:rPr>
                <w:rFonts w:ascii="Times New Roman" w:hAnsi="Times New Roman" w:cs="Times New Roman"/>
                <w:color w:val="000000" w:themeColor="text1"/>
              </w:rPr>
              <w:t>CCNUCC </w:t>
            </w:r>
          </w:p>
        </w:tc>
        <w:tc>
          <w:tcPr>
            <w:tcW w:w="7501" w:type="dxa"/>
            <w:gridSpan w:val="3"/>
          </w:tcPr>
          <w:p w14:paraId="2A24856C" w14:textId="77777777" w:rsidR="0065285D" w:rsidRPr="00915B33" w:rsidRDefault="0065285D" w:rsidP="00F118C9">
            <w:pPr>
              <w:jc w:val="both"/>
              <w:rPr>
                <w:color w:val="000000" w:themeColor="text1"/>
              </w:rPr>
            </w:pPr>
            <w:r w:rsidRPr="00915B33">
              <w:rPr>
                <w:rFonts w:ascii="Times New Roman" w:hAnsi="Times New Roman" w:cs="Times New Roman"/>
                <w:color w:val="000000" w:themeColor="text1"/>
              </w:rPr>
              <w:t>Convention Cadre des Nations Unies sur le Changement Climatique</w:t>
            </w:r>
          </w:p>
        </w:tc>
      </w:tr>
      <w:tr w:rsidR="00915B33" w:rsidRPr="00915B33" w14:paraId="101DF645" w14:textId="77777777" w:rsidTr="0065285D">
        <w:tc>
          <w:tcPr>
            <w:tcW w:w="1181" w:type="dxa"/>
          </w:tcPr>
          <w:p w14:paraId="0682999F" w14:textId="77777777" w:rsidR="0065285D" w:rsidRPr="00915B33" w:rsidRDefault="0065285D" w:rsidP="00F118C9">
            <w:pPr>
              <w:rPr>
                <w:color w:val="000000" w:themeColor="text1"/>
              </w:rPr>
            </w:pPr>
            <w:r w:rsidRPr="00915B33">
              <w:rPr>
                <w:rFonts w:ascii="Times New Roman" w:hAnsi="Times New Roman" w:cs="Times New Roman"/>
                <w:color w:val="000000" w:themeColor="text1"/>
              </w:rPr>
              <w:t xml:space="preserve">CCPNCC             </w:t>
            </w:r>
          </w:p>
        </w:tc>
        <w:tc>
          <w:tcPr>
            <w:tcW w:w="7501" w:type="dxa"/>
            <w:gridSpan w:val="3"/>
          </w:tcPr>
          <w:p w14:paraId="5B4C1066" w14:textId="77777777" w:rsidR="0065285D" w:rsidRPr="00915B33" w:rsidRDefault="0065285D" w:rsidP="00F118C9">
            <w:pPr>
              <w:jc w:val="both"/>
              <w:rPr>
                <w:color w:val="000000" w:themeColor="text1"/>
              </w:rPr>
            </w:pPr>
            <w:r w:rsidRPr="00915B33">
              <w:rPr>
                <w:rFonts w:ascii="Times New Roman" w:hAnsi="Times New Roman" w:cs="Times New Roman"/>
                <w:color w:val="000000" w:themeColor="text1"/>
              </w:rPr>
              <w:t>Cellule de Coordination du Programme National sur le Changement Climatique</w:t>
            </w:r>
          </w:p>
        </w:tc>
      </w:tr>
      <w:tr w:rsidR="00915B33" w:rsidRPr="00915B33" w14:paraId="0FAEFB33" w14:textId="77777777" w:rsidTr="0065285D">
        <w:tc>
          <w:tcPr>
            <w:tcW w:w="1181" w:type="dxa"/>
          </w:tcPr>
          <w:p w14:paraId="687D670B" w14:textId="77777777" w:rsidR="0065285D" w:rsidRPr="00915B33" w:rsidRDefault="0065285D" w:rsidP="00F118C9">
            <w:pPr>
              <w:rPr>
                <w:color w:val="000000" w:themeColor="text1"/>
              </w:rPr>
            </w:pPr>
            <w:r w:rsidRPr="00915B33">
              <w:rPr>
                <w:rFonts w:ascii="Times New Roman" w:hAnsi="Times New Roman" w:cs="Times New Roman"/>
                <w:color w:val="000000" w:themeColor="text1"/>
              </w:rPr>
              <w:t xml:space="preserve">CN4                    </w:t>
            </w:r>
          </w:p>
        </w:tc>
        <w:tc>
          <w:tcPr>
            <w:tcW w:w="7501" w:type="dxa"/>
            <w:gridSpan w:val="3"/>
          </w:tcPr>
          <w:p w14:paraId="2DE6F0C2" w14:textId="77777777" w:rsidR="0065285D" w:rsidRPr="00915B33" w:rsidRDefault="0065285D" w:rsidP="00F118C9">
            <w:pPr>
              <w:jc w:val="both"/>
              <w:rPr>
                <w:color w:val="000000" w:themeColor="text1"/>
              </w:rPr>
            </w:pPr>
            <w:r w:rsidRPr="00915B33">
              <w:rPr>
                <w:rFonts w:ascii="Times New Roman" w:hAnsi="Times New Roman" w:cs="Times New Roman"/>
                <w:color w:val="000000" w:themeColor="text1"/>
              </w:rPr>
              <w:t>Quatrième Communication Nationale</w:t>
            </w:r>
          </w:p>
        </w:tc>
      </w:tr>
      <w:tr w:rsidR="00915B33" w:rsidRPr="00915B33" w14:paraId="63B8978F" w14:textId="77777777" w:rsidTr="0065285D">
        <w:tc>
          <w:tcPr>
            <w:tcW w:w="1181" w:type="dxa"/>
          </w:tcPr>
          <w:p w14:paraId="46E79A42" w14:textId="77777777" w:rsidR="0065285D" w:rsidRPr="00915B33" w:rsidRDefault="0065285D" w:rsidP="00F118C9">
            <w:pPr>
              <w:rPr>
                <w:rFonts w:ascii="Times New Roman" w:hAnsi="Times New Roman" w:cs="Times New Roman"/>
                <w:color w:val="000000" w:themeColor="text1"/>
              </w:rPr>
            </w:pPr>
            <w:r w:rsidRPr="00915B33">
              <w:rPr>
                <w:rFonts w:ascii="Times New Roman" w:hAnsi="Times New Roman" w:cs="Times New Roman"/>
                <w:color w:val="000000" w:themeColor="text1"/>
              </w:rPr>
              <w:t xml:space="preserve">CNC            </w:t>
            </w:r>
          </w:p>
        </w:tc>
        <w:tc>
          <w:tcPr>
            <w:tcW w:w="7501" w:type="dxa"/>
            <w:gridSpan w:val="3"/>
          </w:tcPr>
          <w:p w14:paraId="3E15C1CC"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Compagnie Nationale de Ciment</w:t>
            </w:r>
          </w:p>
        </w:tc>
      </w:tr>
      <w:tr w:rsidR="00915B33" w:rsidRPr="00915B33" w14:paraId="3B2FD7E3" w14:textId="77777777" w:rsidTr="0065285D">
        <w:tc>
          <w:tcPr>
            <w:tcW w:w="1181" w:type="dxa"/>
          </w:tcPr>
          <w:p w14:paraId="3B9B2ABB" w14:textId="77777777" w:rsidR="0065285D" w:rsidRPr="00915B33" w:rsidRDefault="0065285D" w:rsidP="00F118C9">
            <w:pPr>
              <w:rPr>
                <w:rFonts w:ascii="Times New Roman" w:hAnsi="Times New Roman" w:cs="Times New Roman"/>
                <w:color w:val="000000" w:themeColor="text1"/>
              </w:rPr>
            </w:pPr>
            <w:r w:rsidRPr="00915B33">
              <w:rPr>
                <w:rFonts w:ascii="Times New Roman" w:hAnsi="Times New Roman" w:cs="Times New Roman"/>
                <w:color w:val="000000" w:themeColor="text1"/>
              </w:rPr>
              <w:t xml:space="preserve">COVNM           </w:t>
            </w:r>
          </w:p>
        </w:tc>
        <w:tc>
          <w:tcPr>
            <w:tcW w:w="7501" w:type="dxa"/>
            <w:gridSpan w:val="3"/>
          </w:tcPr>
          <w:p w14:paraId="4AC32359"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Composés Organiques Volatils Non Méthaniques</w:t>
            </w:r>
          </w:p>
        </w:tc>
      </w:tr>
      <w:tr w:rsidR="00915B33" w:rsidRPr="00915B33" w14:paraId="632B3618" w14:textId="77777777" w:rsidTr="0065285D">
        <w:tc>
          <w:tcPr>
            <w:tcW w:w="1181" w:type="dxa"/>
          </w:tcPr>
          <w:p w14:paraId="3579EF0A" w14:textId="77777777" w:rsidR="0065285D" w:rsidRPr="00915B33" w:rsidRDefault="0065285D" w:rsidP="00F118C9">
            <w:pPr>
              <w:rPr>
                <w:rFonts w:ascii="Times New Roman" w:hAnsi="Times New Roman" w:cs="Times New Roman"/>
                <w:color w:val="000000" w:themeColor="text1"/>
              </w:rPr>
            </w:pPr>
            <w:r w:rsidRPr="00915B33">
              <w:rPr>
                <w:rFonts w:ascii="Times New Roman" w:hAnsi="Times New Roman" w:cs="Times New Roman"/>
                <w:color w:val="000000" w:themeColor="text1"/>
              </w:rPr>
              <w:t>CSC</w:t>
            </w:r>
          </w:p>
        </w:tc>
        <w:tc>
          <w:tcPr>
            <w:tcW w:w="7501" w:type="dxa"/>
            <w:gridSpan w:val="3"/>
          </w:tcPr>
          <w:p w14:paraId="21D428BA"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Catégorie Source Clé</w:t>
            </w:r>
          </w:p>
        </w:tc>
      </w:tr>
      <w:tr w:rsidR="00915B33" w:rsidRPr="00915B33" w14:paraId="74A73C08" w14:textId="77777777" w:rsidTr="0065285D">
        <w:tc>
          <w:tcPr>
            <w:tcW w:w="1181" w:type="dxa"/>
          </w:tcPr>
          <w:p w14:paraId="0BC71E59" w14:textId="77777777" w:rsidR="0065285D" w:rsidRPr="00915B33" w:rsidRDefault="0065285D" w:rsidP="00F118C9">
            <w:pPr>
              <w:rPr>
                <w:rFonts w:ascii="Times New Roman" w:hAnsi="Times New Roman" w:cs="Times New Roman"/>
                <w:color w:val="000000" w:themeColor="text1"/>
              </w:rPr>
            </w:pPr>
            <w:r w:rsidRPr="00915B33">
              <w:rPr>
                <w:rFonts w:ascii="Times New Roman" w:hAnsi="Times New Roman" w:cs="Times New Roman"/>
                <w:color w:val="000000" w:themeColor="text1"/>
              </w:rPr>
              <w:t>DDI </w:t>
            </w:r>
          </w:p>
        </w:tc>
        <w:tc>
          <w:tcPr>
            <w:tcW w:w="7501" w:type="dxa"/>
            <w:gridSpan w:val="3"/>
          </w:tcPr>
          <w:p w14:paraId="70E3F7D3"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Direction du Développement Industriel</w:t>
            </w:r>
          </w:p>
        </w:tc>
      </w:tr>
      <w:tr w:rsidR="00915B33" w:rsidRPr="00915B33" w14:paraId="7CCAADEF" w14:textId="77777777" w:rsidTr="0065285D">
        <w:tc>
          <w:tcPr>
            <w:tcW w:w="1181" w:type="dxa"/>
          </w:tcPr>
          <w:p w14:paraId="4EB6EBC7" w14:textId="77777777" w:rsidR="0065285D" w:rsidRPr="00915B33" w:rsidRDefault="0065285D" w:rsidP="00F118C9">
            <w:pPr>
              <w:rPr>
                <w:rFonts w:ascii="Times New Roman" w:hAnsi="Times New Roman" w:cs="Times New Roman"/>
                <w:color w:val="000000" w:themeColor="text1"/>
              </w:rPr>
            </w:pPr>
            <w:r w:rsidRPr="00915B33">
              <w:rPr>
                <w:rFonts w:ascii="Times New Roman" w:hAnsi="Times New Roman" w:cs="Times New Roman"/>
                <w:color w:val="000000" w:themeColor="text1"/>
              </w:rPr>
              <w:t xml:space="preserve">DEPC           </w:t>
            </w:r>
          </w:p>
        </w:tc>
        <w:tc>
          <w:tcPr>
            <w:tcW w:w="7501" w:type="dxa"/>
            <w:gridSpan w:val="3"/>
          </w:tcPr>
          <w:p w14:paraId="5A800849"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Direction des Études, de la Programmation et de la Coopération</w:t>
            </w:r>
          </w:p>
        </w:tc>
      </w:tr>
      <w:tr w:rsidR="00915B33" w:rsidRPr="00915B33" w14:paraId="30BAFB4E" w14:textId="77777777" w:rsidTr="0065285D">
        <w:tc>
          <w:tcPr>
            <w:tcW w:w="1181" w:type="dxa"/>
          </w:tcPr>
          <w:p w14:paraId="067FACBA" w14:textId="77777777" w:rsidR="0065285D" w:rsidRPr="00915B33" w:rsidRDefault="0065285D" w:rsidP="00F118C9">
            <w:pPr>
              <w:rPr>
                <w:rFonts w:ascii="Times New Roman" w:hAnsi="Times New Roman" w:cs="Times New Roman"/>
                <w:color w:val="000000" w:themeColor="text1"/>
              </w:rPr>
            </w:pPr>
            <w:r w:rsidRPr="00915B33">
              <w:rPr>
                <w:rFonts w:ascii="Times New Roman" w:hAnsi="Times New Roman" w:cs="Times New Roman"/>
                <w:color w:val="000000" w:themeColor="text1"/>
              </w:rPr>
              <w:t xml:space="preserve">DGIT                </w:t>
            </w:r>
          </w:p>
        </w:tc>
        <w:tc>
          <w:tcPr>
            <w:tcW w:w="7501" w:type="dxa"/>
            <w:gridSpan w:val="3"/>
          </w:tcPr>
          <w:p w14:paraId="6B121BA2"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Direction Générale des Infrastructures et des Transports</w:t>
            </w:r>
          </w:p>
        </w:tc>
      </w:tr>
      <w:tr w:rsidR="00915B33" w:rsidRPr="00915B33" w14:paraId="0BBA9545" w14:textId="77777777" w:rsidTr="0065285D">
        <w:tc>
          <w:tcPr>
            <w:tcW w:w="1181" w:type="dxa"/>
          </w:tcPr>
          <w:p w14:paraId="1047B715" w14:textId="77777777" w:rsidR="0065285D" w:rsidRPr="00915B33" w:rsidRDefault="0065285D" w:rsidP="00F118C9">
            <w:pPr>
              <w:rPr>
                <w:rFonts w:ascii="Times New Roman" w:hAnsi="Times New Roman" w:cs="Times New Roman"/>
                <w:color w:val="000000" w:themeColor="text1"/>
              </w:rPr>
            </w:pPr>
            <w:r w:rsidRPr="00915B33">
              <w:rPr>
                <w:rFonts w:ascii="Times New Roman" w:hAnsi="Times New Roman" w:cs="Times New Roman"/>
                <w:color w:val="000000" w:themeColor="text1"/>
              </w:rPr>
              <w:t>DNPQ </w:t>
            </w:r>
          </w:p>
        </w:tc>
        <w:tc>
          <w:tcPr>
            <w:tcW w:w="7501" w:type="dxa"/>
            <w:gridSpan w:val="3"/>
          </w:tcPr>
          <w:p w14:paraId="2A4748A4"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Direction de la Normalisation et de la Promotion de la Qualité</w:t>
            </w:r>
          </w:p>
        </w:tc>
      </w:tr>
      <w:tr w:rsidR="00915B33" w:rsidRPr="00915B33" w14:paraId="7A261E48" w14:textId="77777777" w:rsidTr="0065285D">
        <w:tc>
          <w:tcPr>
            <w:tcW w:w="1181" w:type="dxa"/>
          </w:tcPr>
          <w:p w14:paraId="0FFD3BCE" w14:textId="77777777" w:rsidR="0065285D" w:rsidRPr="00915B33" w:rsidRDefault="0065285D" w:rsidP="00F118C9">
            <w:pPr>
              <w:rPr>
                <w:rFonts w:ascii="Times New Roman" w:hAnsi="Times New Roman" w:cs="Times New Roman"/>
                <w:color w:val="000000" w:themeColor="text1"/>
              </w:rPr>
            </w:pPr>
            <w:r w:rsidRPr="00915B33">
              <w:rPr>
                <w:rFonts w:ascii="Times New Roman" w:hAnsi="Times New Roman" w:cs="Times New Roman"/>
                <w:color w:val="000000" w:themeColor="text1"/>
              </w:rPr>
              <w:t xml:space="preserve">ENER               </w:t>
            </w:r>
          </w:p>
        </w:tc>
        <w:tc>
          <w:tcPr>
            <w:tcW w:w="7501" w:type="dxa"/>
            <w:gridSpan w:val="3"/>
          </w:tcPr>
          <w:p w14:paraId="00EC091C"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Établissement National de l’Entretien Routier</w:t>
            </w:r>
          </w:p>
        </w:tc>
      </w:tr>
      <w:tr w:rsidR="00915B33" w:rsidRPr="00915B33" w14:paraId="5A9D9B57" w14:textId="77777777" w:rsidTr="0065285D">
        <w:tc>
          <w:tcPr>
            <w:tcW w:w="1181" w:type="dxa"/>
          </w:tcPr>
          <w:p w14:paraId="2364A952" w14:textId="77777777" w:rsidR="0065285D" w:rsidRPr="00915B33" w:rsidRDefault="0065285D" w:rsidP="00F118C9">
            <w:pPr>
              <w:rPr>
                <w:rFonts w:ascii="Times New Roman" w:hAnsi="Times New Roman" w:cs="Times New Roman"/>
                <w:color w:val="000000" w:themeColor="text1"/>
              </w:rPr>
            </w:pPr>
            <w:r w:rsidRPr="00915B33">
              <w:rPr>
                <w:rFonts w:ascii="Times New Roman" w:hAnsi="Times New Roman" w:cs="Times New Roman"/>
                <w:color w:val="000000" w:themeColor="text1"/>
                <w:lang w:eastAsia="fr-CA"/>
              </w:rPr>
              <w:t xml:space="preserve">GES     </w:t>
            </w:r>
          </w:p>
        </w:tc>
        <w:tc>
          <w:tcPr>
            <w:tcW w:w="7501" w:type="dxa"/>
            <w:gridSpan w:val="3"/>
          </w:tcPr>
          <w:p w14:paraId="67C062DD"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lang w:eastAsia="fr-CA"/>
              </w:rPr>
              <w:t>Gaz à effet de serre</w:t>
            </w:r>
          </w:p>
        </w:tc>
      </w:tr>
      <w:tr w:rsidR="00915B33" w:rsidRPr="00915B33" w14:paraId="3B749F2B" w14:textId="77777777" w:rsidTr="0065285D">
        <w:tc>
          <w:tcPr>
            <w:tcW w:w="1181" w:type="dxa"/>
          </w:tcPr>
          <w:p w14:paraId="6B5D3763" w14:textId="77777777" w:rsidR="0065285D" w:rsidRPr="00915B33" w:rsidRDefault="0065285D" w:rsidP="00F118C9">
            <w:pPr>
              <w:rPr>
                <w:rFonts w:ascii="Times New Roman" w:hAnsi="Times New Roman" w:cs="Times New Roman"/>
                <w:color w:val="000000" w:themeColor="text1"/>
              </w:rPr>
            </w:pPr>
            <w:r w:rsidRPr="00915B33">
              <w:rPr>
                <w:rFonts w:ascii="Times New Roman" w:hAnsi="Times New Roman" w:cs="Times New Roman"/>
                <w:color w:val="000000" w:themeColor="text1"/>
              </w:rPr>
              <w:t xml:space="preserve">Gg                  </w:t>
            </w:r>
          </w:p>
        </w:tc>
        <w:tc>
          <w:tcPr>
            <w:tcW w:w="7501" w:type="dxa"/>
            <w:gridSpan w:val="3"/>
          </w:tcPr>
          <w:p w14:paraId="7222C88C"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Giga-gramme</w:t>
            </w:r>
          </w:p>
        </w:tc>
      </w:tr>
      <w:tr w:rsidR="00915B33" w:rsidRPr="00915B33" w14:paraId="07CF0A43" w14:textId="77777777" w:rsidTr="0065285D">
        <w:tc>
          <w:tcPr>
            <w:tcW w:w="1181" w:type="dxa"/>
          </w:tcPr>
          <w:p w14:paraId="040AF54A" w14:textId="77777777" w:rsidR="0065285D" w:rsidRPr="00915B33" w:rsidRDefault="0065285D" w:rsidP="00F118C9">
            <w:pPr>
              <w:rPr>
                <w:rFonts w:ascii="Times New Roman" w:hAnsi="Times New Roman" w:cs="Times New Roman"/>
                <w:color w:val="000000" w:themeColor="text1"/>
              </w:rPr>
            </w:pPr>
            <w:r w:rsidRPr="00915B33">
              <w:rPr>
                <w:rFonts w:ascii="Times New Roman" w:hAnsi="Times New Roman" w:cs="Times New Roman"/>
                <w:color w:val="000000" w:themeColor="text1"/>
              </w:rPr>
              <w:t xml:space="preserve">GIEC           </w:t>
            </w:r>
          </w:p>
        </w:tc>
        <w:tc>
          <w:tcPr>
            <w:tcW w:w="7501" w:type="dxa"/>
            <w:gridSpan w:val="3"/>
          </w:tcPr>
          <w:p w14:paraId="3370C1FE"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Groupe d’experts Intergouvernemental sur l’Évolution du climat</w:t>
            </w:r>
          </w:p>
        </w:tc>
      </w:tr>
      <w:tr w:rsidR="00915B33" w:rsidRPr="00915B33" w14:paraId="7E332FAE" w14:textId="77777777" w:rsidTr="0065285D">
        <w:tc>
          <w:tcPr>
            <w:tcW w:w="1181" w:type="dxa"/>
          </w:tcPr>
          <w:p w14:paraId="2CC96FC7" w14:textId="77777777" w:rsidR="0065285D" w:rsidRPr="00915B33" w:rsidRDefault="0065285D" w:rsidP="00F118C9">
            <w:pPr>
              <w:rPr>
                <w:rFonts w:ascii="Times New Roman" w:hAnsi="Times New Roman" w:cs="Times New Roman"/>
                <w:color w:val="000000" w:themeColor="text1"/>
              </w:rPr>
            </w:pPr>
            <w:r w:rsidRPr="00915B33">
              <w:rPr>
                <w:rFonts w:ascii="Times New Roman" w:hAnsi="Times New Roman" w:cs="Times New Roman"/>
                <w:color w:val="000000" w:themeColor="text1"/>
              </w:rPr>
              <w:t xml:space="preserve">GPG             </w:t>
            </w:r>
          </w:p>
        </w:tc>
        <w:tc>
          <w:tcPr>
            <w:tcW w:w="7501" w:type="dxa"/>
            <w:gridSpan w:val="3"/>
          </w:tcPr>
          <w:p w14:paraId="46D1EB0D"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Good Practices Guidance (Guide de bonnes pratiques)</w:t>
            </w:r>
          </w:p>
        </w:tc>
      </w:tr>
      <w:tr w:rsidR="00915B33" w:rsidRPr="00915B33" w14:paraId="244DB070" w14:textId="77777777" w:rsidTr="0065285D">
        <w:tc>
          <w:tcPr>
            <w:tcW w:w="1181" w:type="dxa"/>
          </w:tcPr>
          <w:p w14:paraId="0CB91DE0" w14:textId="77777777" w:rsidR="0065285D" w:rsidRPr="00915B33" w:rsidRDefault="0065285D" w:rsidP="00F118C9">
            <w:pPr>
              <w:rPr>
                <w:rFonts w:ascii="Times New Roman" w:hAnsi="Times New Roman" w:cs="Times New Roman"/>
                <w:color w:val="000000" w:themeColor="text1"/>
              </w:rPr>
            </w:pPr>
            <w:r w:rsidRPr="00915B33">
              <w:rPr>
                <w:rFonts w:ascii="Times New Roman" w:hAnsi="Times New Roman" w:cs="Times New Roman"/>
                <w:color w:val="000000" w:themeColor="text1"/>
              </w:rPr>
              <w:t>GTS</w:t>
            </w:r>
            <w:r w:rsidRPr="00915B33">
              <w:rPr>
                <w:rFonts w:ascii="Times New Roman" w:hAnsi="Times New Roman" w:cs="Times New Roman"/>
                <w:b/>
                <w:color w:val="000000" w:themeColor="text1"/>
              </w:rPr>
              <w:t> </w:t>
            </w:r>
          </w:p>
        </w:tc>
        <w:tc>
          <w:tcPr>
            <w:tcW w:w="7501" w:type="dxa"/>
            <w:gridSpan w:val="3"/>
          </w:tcPr>
          <w:p w14:paraId="34BBD100"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Groupe de Travail Sectoriel</w:t>
            </w:r>
          </w:p>
        </w:tc>
      </w:tr>
      <w:tr w:rsidR="00915B33" w:rsidRPr="00915B33" w14:paraId="6C1D692B" w14:textId="77777777" w:rsidTr="0065285D">
        <w:tc>
          <w:tcPr>
            <w:tcW w:w="1181" w:type="dxa"/>
          </w:tcPr>
          <w:p w14:paraId="53767E72" w14:textId="77777777" w:rsidR="0065285D" w:rsidRPr="00915B33" w:rsidRDefault="0065285D" w:rsidP="00F118C9">
            <w:pPr>
              <w:rPr>
                <w:rFonts w:ascii="Times New Roman" w:hAnsi="Times New Roman" w:cs="Times New Roman"/>
                <w:color w:val="000000" w:themeColor="text1"/>
              </w:rPr>
            </w:pPr>
            <w:r w:rsidRPr="00915B33">
              <w:rPr>
                <w:rFonts w:ascii="Times New Roman" w:hAnsi="Times New Roman" w:cs="Times New Roman"/>
                <w:color w:val="000000" w:themeColor="text1"/>
              </w:rPr>
              <w:t xml:space="preserve">IGES          </w:t>
            </w:r>
          </w:p>
        </w:tc>
        <w:tc>
          <w:tcPr>
            <w:tcW w:w="7501" w:type="dxa"/>
            <w:gridSpan w:val="3"/>
          </w:tcPr>
          <w:p w14:paraId="03DDB961"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Inventaire des gaz à effet de serre</w:t>
            </w:r>
          </w:p>
        </w:tc>
      </w:tr>
      <w:tr w:rsidR="00915B33" w:rsidRPr="00915B33" w14:paraId="4970B50F" w14:textId="77777777" w:rsidTr="0065285D">
        <w:tc>
          <w:tcPr>
            <w:tcW w:w="1181" w:type="dxa"/>
          </w:tcPr>
          <w:p w14:paraId="3F5899E5" w14:textId="77777777" w:rsidR="0065285D" w:rsidRPr="00915B33" w:rsidRDefault="0065285D" w:rsidP="00F118C9">
            <w:pPr>
              <w:rPr>
                <w:rFonts w:ascii="Times New Roman" w:hAnsi="Times New Roman" w:cs="Times New Roman"/>
                <w:color w:val="000000" w:themeColor="text1"/>
              </w:rPr>
            </w:pPr>
            <w:r w:rsidRPr="00915B33">
              <w:rPr>
                <w:rFonts w:ascii="Times New Roman" w:hAnsi="Times New Roman" w:cs="Times New Roman"/>
                <w:color w:val="000000" w:themeColor="text1"/>
                <w:lang w:val="en-US"/>
              </w:rPr>
              <w:t xml:space="preserve">IPCC             </w:t>
            </w:r>
          </w:p>
        </w:tc>
        <w:tc>
          <w:tcPr>
            <w:tcW w:w="7501" w:type="dxa"/>
            <w:gridSpan w:val="3"/>
          </w:tcPr>
          <w:p w14:paraId="4514C906" w14:textId="77777777" w:rsidR="0065285D" w:rsidRPr="00915B33" w:rsidRDefault="0065285D" w:rsidP="00F118C9">
            <w:pPr>
              <w:jc w:val="both"/>
              <w:rPr>
                <w:rFonts w:ascii="Times New Roman" w:hAnsi="Times New Roman" w:cs="Times New Roman"/>
                <w:color w:val="000000" w:themeColor="text1"/>
                <w:lang w:val="en-CA"/>
              </w:rPr>
            </w:pPr>
            <w:r w:rsidRPr="00915B33">
              <w:rPr>
                <w:rFonts w:ascii="Times New Roman" w:hAnsi="Times New Roman" w:cs="Times New Roman"/>
                <w:color w:val="000000" w:themeColor="text1"/>
                <w:lang w:val="en-US"/>
              </w:rPr>
              <w:t>Inter-governmental Panel on Climate Change</w:t>
            </w:r>
          </w:p>
        </w:tc>
      </w:tr>
      <w:tr w:rsidR="00915B33" w:rsidRPr="00915B33" w14:paraId="3FED4182" w14:textId="77777777" w:rsidTr="0065285D">
        <w:tc>
          <w:tcPr>
            <w:tcW w:w="1181" w:type="dxa"/>
          </w:tcPr>
          <w:p w14:paraId="03DEDE0A" w14:textId="77777777" w:rsidR="0065285D" w:rsidRPr="00915B33" w:rsidRDefault="0065285D" w:rsidP="00F118C9">
            <w:pPr>
              <w:rPr>
                <w:rFonts w:ascii="Times New Roman" w:hAnsi="Times New Roman" w:cs="Times New Roman"/>
                <w:color w:val="000000" w:themeColor="text1"/>
                <w:lang w:val="en-CA"/>
              </w:rPr>
            </w:pPr>
            <w:r w:rsidRPr="00915B33">
              <w:rPr>
                <w:rFonts w:ascii="Times New Roman" w:hAnsi="Times New Roman" w:cs="Times New Roman"/>
                <w:color w:val="000000" w:themeColor="text1"/>
              </w:rPr>
              <w:t xml:space="preserve">LD </w:t>
            </w:r>
          </w:p>
        </w:tc>
        <w:tc>
          <w:tcPr>
            <w:tcW w:w="7501" w:type="dxa"/>
            <w:gridSpan w:val="3"/>
          </w:tcPr>
          <w:p w14:paraId="17F8D417" w14:textId="77777777" w:rsidR="0065285D" w:rsidRPr="00915B33" w:rsidRDefault="0065285D" w:rsidP="00F118C9">
            <w:pPr>
              <w:jc w:val="both"/>
              <w:rPr>
                <w:rFonts w:ascii="Times New Roman" w:hAnsi="Times New Roman" w:cs="Times New Roman"/>
                <w:color w:val="000000" w:themeColor="text1"/>
                <w:lang w:val="en-US"/>
              </w:rPr>
            </w:pPr>
            <w:r w:rsidRPr="00915B33">
              <w:rPr>
                <w:rFonts w:ascii="Times New Roman" w:hAnsi="Times New Roman" w:cs="Times New Roman"/>
                <w:color w:val="000000" w:themeColor="text1"/>
              </w:rPr>
              <w:t>Lignes directrices</w:t>
            </w:r>
          </w:p>
        </w:tc>
      </w:tr>
      <w:tr w:rsidR="00915B33" w:rsidRPr="00915B33" w14:paraId="673F74D5" w14:textId="77777777" w:rsidTr="0065285D">
        <w:tc>
          <w:tcPr>
            <w:tcW w:w="1181" w:type="dxa"/>
          </w:tcPr>
          <w:p w14:paraId="0BF6F930" w14:textId="77777777" w:rsidR="0065285D" w:rsidRPr="00915B33" w:rsidRDefault="0065285D" w:rsidP="00F118C9">
            <w:pPr>
              <w:rPr>
                <w:rFonts w:ascii="Times New Roman" w:hAnsi="Times New Roman" w:cs="Times New Roman"/>
                <w:color w:val="000000" w:themeColor="text1"/>
                <w:lang w:val="en-CA"/>
              </w:rPr>
            </w:pPr>
            <w:r w:rsidRPr="00915B33">
              <w:rPr>
                <w:rFonts w:ascii="Times New Roman" w:hAnsi="Times New Roman" w:cs="Times New Roman"/>
                <w:color w:val="000000" w:themeColor="text1"/>
              </w:rPr>
              <w:t xml:space="preserve">MAFCI        </w:t>
            </w:r>
          </w:p>
        </w:tc>
        <w:tc>
          <w:tcPr>
            <w:tcW w:w="7501" w:type="dxa"/>
            <w:gridSpan w:val="3"/>
          </w:tcPr>
          <w:p w14:paraId="1CC25B90" w14:textId="77777777" w:rsidR="0065285D" w:rsidRPr="00915B33" w:rsidRDefault="0065285D" w:rsidP="00F118C9">
            <w:pPr>
              <w:jc w:val="both"/>
              <w:rPr>
                <w:rFonts w:ascii="Times New Roman" w:hAnsi="Times New Roman" w:cs="Times New Roman"/>
                <w:color w:val="000000" w:themeColor="text1"/>
                <w:lang w:val="fr-CA"/>
              </w:rPr>
            </w:pPr>
            <w:r w:rsidRPr="00915B33">
              <w:rPr>
                <w:rFonts w:ascii="Times New Roman" w:hAnsi="Times New Roman" w:cs="Times New Roman"/>
                <w:color w:val="000000" w:themeColor="text1"/>
              </w:rPr>
              <w:t>Mauritano-Française de Ciment</w:t>
            </w:r>
          </w:p>
        </w:tc>
      </w:tr>
      <w:tr w:rsidR="00915B33" w:rsidRPr="00915B33" w14:paraId="013F5EDC" w14:textId="77777777" w:rsidTr="0065285D">
        <w:tc>
          <w:tcPr>
            <w:tcW w:w="1181" w:type="dxa"/>
          </w:tcPr>
          <w:p w14:paraId="08720133" w14:textId="77777777" w:rsidR="0065285D" w:rsidRPr="00915B33" w:rsidRDefault="0065285D" w:rsidP="00F118C9">
            <w:pPr>
              <w:rPr>
                <w:rFonts w:ascii="Times New Roman" w:hAnsi="Times New Roman" w:cs="Times New Roman"/>
                <w:color w:val="000000" w:themeColor="text1"/>
                <w:lang w:val="fr-CA"/>
              </w:rPr>
            </w:pPr>
            <w:r w:rsidRPr="00915B33">
              <w:rPr>
                <w:rFonts w:ascii="Times New Roman" w:hAnsi="Times New Roman" w:cs="Times New Roman"/>
                <w:color w:val="000000" w:themeColor="text1"/>
              </w:rPr>
              <w:t xml:space="preserve">MCIT         </w:t>
            </w:r>
          </w:p>
        </w:tc>
        <w:tc>
          <w:tcPr>
            <w:tcW w:w="7501" w:type="dxa"/>
            <w:gridSpan w:val="3"/>
          </w:tcPr>
          <w:p w14:paraId="18A4B1A2" w14:textId="77777777" w:rsidR="0065285D" w:rsidRPr="00915B33" w:rsidRDefault="0065285D" w:rsidP="00F118C9">
            <w:pPr>
              <w:jc w:val="both"/>
              <w:rPr>
                <w:rFonts w:ascii="Times New Roman" w:hAnsi="Times New Roman" w:cs="Times New Roman"/>
                <w:color w:val="000000" w:themeColor="text1"/>
                <w:lang w:val="fr-CA"/>
              </w:rPr>
            </w:pPr>
            <w:r w:rsidRPr="00915B33">
              <w:rPr>
                <w:rFonts w:ascii="Times New Roman" w:hAnsi="Times New Roman" w:cs="Times New Roman"/>
                <w:color w:val="000000" w:themeColor="text1"/>
              </w:rPr>
              <w:t>Ministère du Commerce, de l’Industrie et du Tourisme</w:t>
            </w:r>
          </w:p>
        </w:tc>
      </w:tr>
      <w:tr w:rsidR="00915B33" w:rsidRPr="00915B33" w14:paraId="11F9AB87" w14:textId="77777777" w:rsidTr="0065285D">
        <w:tc>
          <w:tcPr>
            <w:tcW w:w="1181" w:type="dxa"/>
          </w:tcPr>
          <w:p w14:paraId="7726CA93" w14:textId="77777777" w:rsidR="0065285D" w:rsidRPr="00915B33" w:rsidRDefault="0065285D" w:rsidP="00F118C9">
            <w:pPr>
              <w:rPr>
                <w:rFonts w:ascii="Times New Roman" w:hAnsi="Times New Roman" w:cs="Times New Roman"/>
                <w:color w:val="000000" w:themeColor="text1"/>
                <w:lang w:val="fr-CA"/>
              </w:rPr>
            </w:pPr>
            <w:r w:rsidRPr="00915B33">
              <w:rPr>
                <w:rFonts w:ascii="Times New Roman" w:hAnsi="Times New Roman" w:cs="Times New Roman"/>
                <w:color w:val="000000" w:themeColor="text1"/>
              </w:rPr>
              <w:t xml:space="preserve">MEDD         </w:t>
            </w:r>
          </w:p>
        </w:tc>
        <w:tc>
          <w:tcPr>
            <w:tcW w:w="7501" w:type="dxa"/>
            <w:gridSpan w:val="3"/>
          </w:tcPr>
          <w:p w14:paraId="26367380" w14:textId="77777777" w:rsidR="0065285D" w:rsidRPr="00915B33" w:rsidRDefault="0065285D" w:rsidP="00F118C9">
            <w:pPr>
              <w:jc w:val="both"/>
              <w:rPr>
                <w:rFonts w:ascii="Times New Roman" w:hAnsi="Times New Roman" w:cs="Times New Roman"/>
                <w:color w:val="000000" w:themeColor="text1"/>
                <w:lang w:val="fr-CA"/>
              </w:rPr>
            </w:pPr>
            <w:r w:rsidRPr="00915B33">
              <w:rPr>
                <w:rFonts w:ascii="Times New Roman" w:hAnsi="Times New Roman" w:cs="Times New Roman"/>
                <w:color w:val="000000" w:themeColor="text1"/>
              </w:rPr>
              <w:t>Ministère de l’Environnement et du Développement Durable</w:t>
            </w:r>
          </w:p>
        </w:tc>
      </w:tr>
      <w:tr w:rsidR="00915B33" w:rsidRPr="00915B33" w14:paraId="2A417F61" w14:textId="77777777" w:rsidTr="0065285D">
        <w:tc>
          <w:tcPr>
            <w:tcW w:w="1181" w:type="dxa"/>
          </w:tcPr>
          <w:p w14:paraId="32360C19" w14:textId="77777777" w:rsidR="0065285D" w:rsidRPr="00915B33" w:rsidRDefault="0065285D" w:rsidP="00F118C9">
            <w:pPr>
              <w:rPr>
                <w:rFonts w:ascii="Times New Roman" w:hAnsi="Times New Roman" w:cs="Times New Roman"/>
                <w:color w:val="000000" w:themeColor="text1"/>
                <w:lang w:val="fr-CA"/>
              </w:rPr>
            </w:pPr>
            <w:r w:rsidRPr="00915B33">
              <w:rPr>
                <w:rFonts w:ascii="Times New Roman" w:hAnsi="Times New Roman" w:cs="Times New Roman"/>
                <w:color w:val="000000" w:themeColor="text1"/>
              </w:rPr>
              <w:t>PFS</w:t>
            </w:r>
          </w:p>
        </w:tc>
        <w:tc>
          <w:tcPr>
            <w:tcW w:w="7501" w:type="dxa"/>
            <w:gridSpan w:val="3"/>
          </w:tcPr>
          <w:p w14:paraId="5E7ADB72"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Point Focal Sectoriel</w:t>
            </w:r>
          </w:p>
        </w:tc>
      </w:tr>
      <w:tr w:rsidR="00915B33" w:rsidRPr="00915B33" w14:paraId="21232DEA" w14:textId="77777777" w:rsidTr="0065285D">
        <w:tc>
          <w:tcPr>
            <w:tcW w:w="1181" w:type="dxa"/>
          </w:tcPr>
          <w:p w14:paraId="2DC07359" w14:textId="77777777" w:rsidR="0065285D" w:rsidRPr="00915B33" w:rsidRDefault="0065285D" w:rsidP="00F118C9">
            <w:pPr>
              <w:rPr>
                <w:rFonts w:ascii="Times New Roman" w:hAnsi="Times New Roman" w:cs="Times New Roman"/>
                <w:color w:val="000000" w:themeColor="text1"/>
                <w:lang w:val="fr-CA"/>
              </w:rPr>
            </w:pPr>
            <w:r w:rsidRPr="00915B33">
              <w:rPr>
                <w:rFonts w:ascii="Times New Roman" w:hAnsi="Times New Roman" w:cs="Times New Roman"/>
                <w:color w:val="000000" w:themeColor="text1"/>
              </w:rPr>
              <w:t xml:space="preserve">PIUP           </w:t>
            </w:r>
          </w:p>
        </w:tc>
        <w:tc>
          <w:tcPr>
            <w:tcW w:w="7501" w:type="dxa"/>
            <w:gridSpan w:val="3"/>
          </w:tcPr>
          <w:p w14:paraId="4B15DF45"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Procédés Industriels et Usages de Produits</w:t>
            </w:r>
          </w:p>
        </w:tc>
      </w:tr>
      <w:tr w:rsidR="00915B33" w:rsidRPr="00915B33" w14:paraId="1CC96EEA" w14:textId="77777777" w:rsidTr="0065285D">
        <w:tc>
          <w:tcPr>
            <w:tcW w:w="1181" w:type="dxa"/>
          </w:tcPr>
          <w:p w14:paraId="5DA5274C" w14:textId="77777777" w:rsidR="0065285D" w:rsidRPr="00915B33" w:rsidRDefault="0065285D" w:rsidP="00F118C9">
            <w:pPr>
              <w:rPr>
                <w:rFonts w:ascii="Times New Roman" w:hAnsi="Times New Roman" w:cs="Times New Roman"/>
                <w:color w:val="000000" w:themeColor="text1"/>
                <w:lang w:val="fr-CA"/>
              </w:rPr>
            </w:pPr>
            <w:r w:rsidRPr="00915B33">
              <w:rPr>
                <w:rFonts w:ascii="Times New Roman" w:hAnsi="Times New Roman" w:cs="Times New Roman"/>
                <w:color w:val="000000" w:themeColor="text1"/>
              </w:rPr>
              <w:t>SAFA </w:t>
            </w:r>
          </w:p>
        </w:tc>
        <w:tc>
          <w:tcPr>
            <w:tcW w:w="7501" w:type="dxa"/>
            <w:gridSpan w:val="3"/>
          </w:tcPr>
          <w:p w14:paraId="23E17EC7"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Société Arabe de Fer et de l’Acier</w:t>
            </w:r>
          </w:p>
        </w:tc>
      </w:tr>
      <w:tr w:rsidR="00915B33" w:rsidRPr="00915B33" w14:paraId="637B8DB1" w14:textId="77777777" w:rsidTr="0065285D">
        <w:tc>
          <w:tcPr>
            <w:tcW w:w="1181" w:type="dxa"/>
          </w:tcPr>
          <w:p w14:paraId="76B0B995" w14:textId="77777777" w:rsidR="0065285D" w:rsidRPr="00915B33" w:rsidRDefault="0065285D" w:rsidP="00F118C9">
            <w:pPr>
              <w:rPr>
                <w:rFonts w:ascii="Times New Roman" w:hAnsi="Times New Roman" w:cs="Times New Roman"/>
                <w:color w:val="000000" w:themeColor="text1"/>
                <w:lang w:val="fr-CA"/>
              </w:rPr>
            </w:pPr>
            <w:r w:rsidRPr="00915B33">
              <w:rPr>
                <w:rFonts w:ascii="Times New Roman" w:hAnsi="Times New Roman" w:cs="Times New Roman"/>
                <w:color w:val="000000" w:themeColor="text1"/>
              </w:rPr>
              <w:t xml:space="preserve">SAO         </w:t>
            </w:r>
          </w:p>
        </w:tc>
        <w:tc>
          <w:tcPr>
            <w:tcW w:w="7501" w:type="dxa"/>
            <w:gridSpan w:val="3"/>
          </w:tcPr>
          <w:p w14:paraId="74CC7A45"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Substances appauvrissant l’ozone</w:t>
            </w:r>
          </w:p>
        </w:tc>
      </w:tr>
      <w:tr w:rsidR="00915B33" w:rsidRPr="00915B33" w14:paraId="54479138" w14:textId="77777777" w:rsidTr="0065285D">
        <w:tc>
          <w:tcPr>
            <w:tcW w:w="1181" w:type="dxa"/>
          </w:tcPr>
          <w:p w14:paraId="15F7BD68" w14:textId="77777777" w:rsidR="0065285D" w:rsidRPr="00915B33" w:rsidRDefault="0065285D" w:rsidP="00F118C9">
            <w:pPr>
              <w:rPr>
                <w:rFonts w:ascii="Times New Roman" w:hAnsi="Times New Roman" w:cs="Times New Roman"/>
                <w:color w:val="000000" w:themeColor="text1"/>
              </w:rPr>
            </w:pPr>
            <w:r w:rsidRPr="00915B33">
              <w:rPr>
                <w:rFonts w:ascii="Times New Roman" w:hAnsi="Times New Roman" w:cs="Times New Roman"/>
                <w:color w:val="000000" w:themeColor="text1"/>
              </w:rPr>
              <w:t xml:space="preserve">SAR          </w:t>
            </w:r>
          </w:p>
        </w:tc>
        <w:tc>
          <w:tcPr>
            <w:tcW w:w="7501" w:type="dxa"/>
            <w:gridSpan w:val="3"/>
          </w:tcPr>
          <w:p w14:paraId="5C2A0D28"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Deuxième rapport d’évaluation</w:t>
            </w:r>
          </w:p>
        </w:tc>
      </w:tr>
      <w:tr w:rsidR="00915B33" w:rsidRPr="00915B33" w14:paraId="23D9AA0D" w14:textId="77777777" w:rsidTr="0065285D">
        <w:tc>
          <w:tcPr>
            <w:tcW w:w="1181" w:type="dxa"/>
          </w:tcPr>
          <w:p w14:paraId="589AFB71" w14:textId="77777777" w:rsidR="0065285D" w:rsidRPr="00915B33" w:rsidRDefault="0065285D" w:rsidP="00F118C9">
            <w:pPr>
              <w:rPr>
                <w:rFonts w:ascii="Times New Roman" w:hAnsi="Times New Roman" w:cs="Times New Roman"/>
                <w:color w:val="000000" w:themeColor="text1"/>
                <w:lang w:val="fr-CA"/>
              </w:rPr>
            </w:pPr>
            <w:r w:rsidRPr="00915B33">
              <w:rPr>
                <w:rFonts w:ascii="Times New Roman" w:hAnsi="Times New Roman" w:cs="Times New Roman"/>
                <w:color w:val="000000" w:themeColor="text1"/>
              </w:rPr>
              <w:t xml:space="preserve">SNIM       </w:t>
            </w:r>
          </w:p>
        </w:tc>
        <w:tc>
          <w:tcPr>
            <w:tcW w:w="7501" w:type="dxa"/>
            <w:gridSpan w:val="3"/>
          </w:tcPr>
          <w:p w14:paraId="4CACFFAF"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Société Nationale Industrielle et Minière</w:t>
            </w:r>
          </w:p>
        </w:tc>
      </w:tr>
      <w:tr w:rsidR="00915B33" w:rsidRPr="00915B33" w14:paraId="511EEA37" w14:textId="77777777" w:rsidTr="0065285D">
        <w:tc>
          <w:tcPr>
            <w:tcW w:w="1181" w:type="dxa"/>
          </w:tcPr>
          <w:p w14:paraId="705D8784" w14:textId="77777777" w:rsidR="0065285D" w:rsidRPr="00915B33" w:rsidRDefault="0065285D" w:rsidP="00F118C9">
            <w:pPr>
              <w:rPr>
                <w:rFonts w:ascii="Times New Roman" w:hAnsi="Times New Roman" w:cs="Times New Roman"/>
                <w:color w:val="000000" w:themeColor="text1"/>
                <w:lang w:val="fr-CA"/>
              </w:rPr>
            </w:pPr>
            <w:r w:rsidRPr="00915B33">
              <w:rPr>
                <w:rFonts w:ascii="Times New Roman" w:hAnsi="Times New Roman" w:cs="Times New Roman"/>
                <w:color w:val="000000" w:themeColor="text1"/>
              </w:rPr>
              <w:t xml:space="preserve">TAR          </w:t>
            </w:r>
          </w:p>
        </w:tc>
        <w:tc>
          <w:tcPr>
            <w:tcW w:w="7501" w:type="dxa"/>
            <w:gridSpan w:val="3"/>
          </w:tcPr>
          <w:p w14:paraId="4F24C824" w14:textId="77777777" w:rsidR="0065285D" w:rsidRPr="00915B33" w:rsidRDefault="0065285D" w:rsidP="00F118C9">
            <w:pPr>
              <w:jc w:val="both"/>
              <w:rPr>
                <w:rFonts w:ascii="Times New Roman" w:hAnsi="Times New Roman" w:cs="Times New Roman"/>
                <w:color w:val="000000" w:themeColor="text1"/>
              </w:rPr>
            </w:pPr>
            <w:r w:rsidRPr="00915B33">
              <w:rPr>
                <w:rFonts w:ascii="Times New Roman" w:hAnsi="Times New Roman" w:cs="Times New Roman"/>
                <w:color w:val="000000" w:themeColor="text1"/>
              </w:rPr>
              <w:t>Troisième rapport d’évaluation</w:t>
            </w:r>
          </w:p>
        </w:tc>
      </w:tr>
      <w:tr w:rsidR="00915B33" w:rsidRPr="00915B33" w14:paraId="44E16A50"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5B25DB5A" w14:textId="77777777" w:rsidR="00760C28" w:rsidRPr="00915B33" w:rsidRDefault="00760C28" w:rsidP="00BC2557">
            <w:pPr>
              <w:jc w:val="center"/>
              <w:outlineLvl w:val="0"/>
              <w:rPr>
                <w:b/>
                <w:bCs/>
                <w:color w:val="000000" w:themeColor="text1"/>
              </w:rPr>
            </w:pPr>
          </w:p>
        </w:tc>
        <w:tc>
          <w:tcPr>
            <w:tcW w:w="7075" w:type="dxa"/>
            <w:tcBorders>
              <w:top w:val="nil"/>
              <w:left w:val="nil"/>
              <w:bottom w:val="nil"/>
              <w:right w:val="nil"/>
            </w:tcBorders>
          </w:tcPr>
          <w:p w14:paraId="565CE59C" w14:textId="5B36F137" w:rsidR="00760C28" w:rsidRPr="00915B33" w:rsidRDefault="00760C28" w:rsidP="00BC2557">
            <w:pPr>
              <w:pStyle w:val="Grandtitre"/>
              <w:outlineLvl w:val="0"/>
            </w:pPr>
            <w:bookmarkStart w:id="1" w:name="_Toc157935457"/>
            <w:r w:rsidRPr="00915B33">
              <w:t>LISTE DES TABLEAUX</w:t>
            </w:r>
            <w:bookmarkEnd w:id="1"/>
          </w:p>
        </w:tc>
      </w:tr>
      <w:tr w:rsidR="00915B33" w:rsidRPr="00915B33" w14:paraId="56C6A9EA"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16B85455" w14:textId="77777777" w:rsidR="00760C28" w:rsidRPr="00915B33" w:rsidRDefault="00760C28" w:rsidP="00F118C9">
            <w:pPr>
              <w:rPr>
                <w:bCs/>
                <w:color w:val="000000" w:themeColor="text1"/>
              </w:rPr>
            </w:pPr>
            <w:r w:rsidRPr="00915B33">
              <w:rPr>
                <w:bCs/>
                <w:color w:val="000000" w:themeColor="text1"/>
              </w:rPr>
              <w:t>Tableau 1 </w:t>
            </w:r>
          </w:p>
        </w:tc>
        <w:tc>
          <w:tcPr>
            <w:tcW w:w="7075" w:type="dxa"/>
            <w:tcBorders>
              <w:top w:val="nil"/>
              <w:left w:val="nil"/>
              <w:bottom w:val="nil"/>
              <w:right w:val="nil"/>
            </w:tcBorders>
          </w:tcPr>
          <w:p w14:paraId="38880F7B" w14:textId="77777777" w:rsidR="00760C28" w:rsidRPr="00915B33" w:rsidRDefault="00760C28" w:rsidP="00F118C9">
            <w:pPr>
              <w:pStyle w:val="Sansinterligne"/>
              <w:rPr>
                <w:color w:val="000000" w:themeColor="text1"/>
              </w:rPr>
            </w:pPr>
            <w:r w:rsidRPr="00915B33">
              <w:rPr>
                <w:color w:val="000000" w:themeColor="text1"/>
              </w:rPr>
              <w:t>Typologie des unités industrielles en Mauritanie</w:t>
            </w:r>
          </w:p>
        </w:tc>
      </w:tr>
      <w:tr w:rsidR="00915B33" w:rsidRPr="00915B33" w14:paraId="1AF3F592"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1E7153BF" w14:textId="77777777" w:rsidR="00760C28" w:rsidRPr="00915B33" w:rsidRDefault="00760C28" w:rsidP="00F118C9">
            <w:pPr>
              <w:rPr>
                <w:bCs/>
                <w:color w:val="000000" w:themeColor="text1"/>
              </w:rPr>
            </w:pPr>
            <w:r w:rsidRPr="00915B33">
              <w:rPr>
                <w:bCs/>
                <w:color w:val="000000" w:themeColor="text1"/>
              </w:rPr>
              <w:t>Tableau 2</w:t>
            </w:r>
          </w:p>
        </w:tc>
        <w:tc>
          <w:tcPr>
            <w:tcW w:w="7075" w:type="dxa"/>
            <w:tcBorders>
              <w:top w:val="nil"/>
              <w:left w:val="nil"/>
              <w:bottom w:val="nil"/>
              <w:right w:val="nil"/>
            </w:tcBorders>
          </w:tcPr>
          <w:p w14:paraId="7CA682C7" w14:textId="77777777" w:rsidR="00760C28" w:rsidRPr="00915B33" w:rsidRDefault="00760C28" w:rsidP="00F118C9">
            <w:pPr>
              <w:pStyle w:val="Sansinterligne"/>
              <w:rPr>
                <w:color w:val="000000" w:themeColor="text1"/>
              </w:rPr>
            </w:pPr>
            <w:r w:rsidRPr="00915B33">
              <w:rPr>
                <w:color w:val="000000" w:themeColor="text1"/>
              </w:rPr>
              <w:t>Répartition géographique des unités industrielles</w:t>
            </w:r>
          </w:p>
        </w:tc>
      </w:tr>
      <w:tr w:rsidR="00915B33" w:rsidRPr="00915B33" w14:paraId="44703DED"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1C209D76" w14:textId="77777777" w:rsidR="00760C28" w:rsidRPr="00915B33" w:rsidRDefault="00760C28" w:rsidP="00F118C9">
            <w:pPr>
              <w:rPr>
                <w:bCs/>
                <w:color w:val="000000" w:themeColor="text1"/>
              </w:rPr>
            </w:pPr>
            <w:r w:rsidRPr="00915B33">
              <w:rPr>
                <w:bCs/>
                <w:color w:val="000000" w:themeColor="text1"/>
              </w:rPr>
              <w:t>Tableau 3 </w:t>
            </w:r>
          </w:p>
        </w:tc>
        <w:tc>
          <w:tcPr>
            <w:tcW w:w="7075" w:type="dxa"/>
            <w:tcBorders>
              <w:top w:val="nil"/>
              <w:left w:val="nil"/>
              <w:bottom w:val="nil"/>
              <w:right w:val="nil"/>
            </w:tcBorders>
          </w:tcPr>
          <w:p w14:paraId="2A456CEB" w14:textId="77777777" w:rsidR="00760C28" w:rsidRPr="00915B33" w:rsidRDefault="00760C28" w:rsidP="00F118C9">
            <w:pPr>
              <w:pStyle w:val="Sansinterligne"/>
              <w:rPr>
                <w:color w:val="000000" w:themeColor="text1"/>
              </w:rPr>
            </w:pPr>
            <w:r w:rsidRPr="00915B33">
              <w:rPr>
                <w:color w:val="000000" w:themeColor="text1"/>
              </w:rPr>
              <w:t>Catégories et parts des importations et exportations mauritaniennes en 2018</w:t>
            </w:r>
          </w:p>
        </w:tc>
      </w:tr>
      <w:tr w:rsidR="00915B33" w:rsidRPr="00915B33" w14:paraId="7363044A"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21047CAC" w14:textId="77777777" w:rsidR="00760C28" w:rsidRPr="00915B33" w:rsidRDefault="00760C28" w:rsidP="00F118C9">
            <w:pPr>
              <w:rPr>
                <w:bCs/>
                <w:color w:val="000000" w:themeColor="text1"/>
              </w:rPr>
            </w:pPr>
            <w:r w:rsidRPr="00915B33">
              <w:rPr>
                <w:bCs/>
                <w:color w:val="000000" w:themeColor="text1"/>
              </w:rPr>
              <w:t xml:space="preserve">Tableau 4 </w:t>
            </w:r>
          </w:p>
        </w:tc>
        <w:tc>
          <w:tcPr>
            <w:tcW w:w="7075" w:type="dxa"/>
            <w:tcBorders>
              <w:top w:val="nil"/>
              <w:left w:val="nil"/>
              <w:bottom w:val="nil"/>
              <w:right w:val="nil"/>
            </w:tcBorders>
          </w:tcPr>
          <w:p w14:paraId="442FA894" w14:textId="77777777" w:rsidR="00760C28" w:rsidRPr="00915B33" w:rsidRDefault="00760C28" w:rsidP="00F118C9">
            <w:pPr>
              <w:pStyle w:val="Sansinterligne"/>
              <w:rPr>
                <w:color w:val="000000" w:themeColor="text1"/>
              </w:rPr>
            </w:pPr>
            <w:r w:rsidRPr="00915B33">
              <w:rPr>
                <w:color w:val="000000" w:themeColor="text1"/>
              </w:rPr>
              <w:t>Présence en Mauritanie des sous-catégories de l’industrie minérale</w:t>
            </w:r>
          </w:p>
        </w:tc>
      </w:tr>
      <w:tr w:rsidR="00915B33" w:rsidRPr="00915B33" w14:paraId="2A0E32E2"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38A87282" w14:textId="77777777" w:rsidR="00760C28" w:rsidRPr="00915B33" w:rsidRDefault="00760C28" w:rsidP="00F118C9">
            <w:pPr>
              <w:rPr>
                <w:bCs/>
                <w:color w:val="000000" w:themeColor="text1"/>
              </w:rPr>
            </w:pPr>
            <w:r w:rsidRPr="00915B33">
              <w:rPr>
                <w:bCs/>
                <w:color w:val="000000" w:themeColor="text1"/>
              </w:rPr>
              <w:t>Tableau 5 </w:t>
            </w:r>
          </w:p>
        </w:tc>
        <w:tc>
          <w:tcPr>
            <w:tcW w:w="7075" w:type="dxa"/>
            <w:tcBorders>
              <w:top w:val="nil"/>
              <w:left w:val="nil"/>
              <w:bottom w:val="nil"/>
              <w:right w:val="nil"/>
            </w:tcBorders>
          </w:tcPr>
          <w:p w14:paraId="313DC729" w14:textId="77777777" w:rsidR="00760C28" w:rsidRPr="00915B33" w:rsidRDefault="00760C28" w:rsidP="00F118C9">
            <w:pPr>
              <w:pStyle w:val="Sansinterligne"/>
              <w:rPr>
                <w:color w:val="000000" w:themeColor="text1"/>
              </w:rPr>
            </w:pPr>
            <w:r w:rsidRPr="00915B33">
              <w:rPr>
                <w:color w:val="000000" w:themeColor="text1"/>
              </w:rPr>
              <w:t>Dates de création et de démarrage des activités des principales cimenteries</w:t>
            </w:r>
          </w:p>
        </w:tc>
      </w:tr>
      <w:tr w:rsidR="00915B33" w:rsidRPr="00915B33" w14:paraId="7A17FE6D"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7DC2CA69" w14:textId="77777777" w:rsidR="00760C28" w:rsidRPr="00915B33" w:rsidRDefault="00760C28" w:rsidP="00F118C9">
            <w:pPr>
              <w:rPr>
                <w:bCs/>
                <w:color w:val="000000" w:themeColor="text1"/>
              </w:rPr>
            </w:pPr>
            <w:r w:rsidRPr="00915B33">
              <w:rPr>
                <w:bCs/>
                <w:color w:val="000000" w:themeColor="text1"/>
              </w:rPr>
              <w:t xml:space="preserve">Tableau 6 </w:t>
            </w:r>
          </w:p>
        </w:tc>
        <w:tc>
          <w:tcPr>
            <w:tcW w:w="7075" w:type="dxa"/>
            <w:tcBorders>
              <w:top w:val="nil"/>
              <w:left w:val="nil"/>
              <w:bottom w:val="nil"/>
              <w:right w:val="nil"/>
            </w:tcBorders>
          </w:tcPr>
          <w:p w14:paraId="34DC14D5" w14:textId="77777777" w:rsidR="00760C28" w:rsidRPr="00915B33" w:rsidRDefault="00760C28" w:rsidP="00F118C9">
            <w:pPr>
              <w:pStyle w:val="Sansinterligne"/>
              <w:rPr>
                <w:color w:val="000000" w:themeColor="text1"/>
              </w:rPr>
            </w:pPr>
            <w:r w:rsidRPr="00915B33">
              <w:rPr>
                <w:color w:val="000000" w:themeColor="text1"/>
              </w:rPr>
              <w:t>Présence en Mauritanie des sous-catégories de l’Industrie chimique</w:t>
            </w:r>
          </w:p>
        </w:tc>
      </w:tr>
      <w:tr w:rsidR="00915B33" w:rsidRPr="00915B33" w14:paraId="5E19CC3C"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05888DA4" w14:textId="77777777" w:rsidR="00760C28" w:rsidRPr="00915B33" w:rsidRDefault="00760C28" w:rsidP="00F118C9">
            <w:pPr>
              <w:rPr>
                <w:bCs/>
                <w:color w:val="000000" w:themeColor="text1"/>
              </w:rPr>
            </w:pPr>
            <w:r w:rsidRPr="00915B33">
              <w:rPr>
                <w:bCs/>
                <w:color w:val="000000" w:themeColor="text1"/>
              </w:rPr>
              <w:t xml:space="preserve">Tableau 7 </w:t>
            </w:r>
          </w:p>
        </w:tc>
        <w:tc>
          <w:tcPr>
            <w:tcW w:w="7075" w:type="dxa"/>
            <w:tcBorders>
              <w:top w:val="nil"/>
              <w:left w:val="nil"/>
              <w:bottom w:val="nil"/>
              <w:right w:val="nil"/>
            </w:tcBorders>
          </w:tcPr>
          <w:p w14:paraId="62AE91BC" w14:textId="77777777" w:rsidR="00760C28" w:rsidRPr="00915B33" w:rsidRDefault="00760C28" w:rsidP="00F118C9">
            <w:pPr>
              <w:pStyle w:val="Sansinterligne"/>
              <w:rPr>
                <w:color w:val="000000" w:themeColor="text1"/>
              </w:rPr>
            </w:pPr>
            <w:r w:rsidRPr="00915B33">
              <w:rPr>
                <w:color w:val="000000" w:themeColor="text1"/>
              </w:rPr>
              <w:t>Présence en Mauritanie des sous-catégories de l’industrie métallique</w:t>
            </w:r>
          </w:p>
        </w:tc>
      </w:tr>
      <w:tr w:rsidR="00915B33" w:rsidRPr="00915B33" w14:paraId="34BC77E3"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1EBD0C11" w14:textId="77777777" w:rsidR="00760C28" w:rsidRPr="00915B33" w:rsidRDefault="00760C28" w:rsidP="00F118C9">
            <w:pPr>
              <w:rPr>
                <w:bCs/>
                <w:color w:val="000000" w:themeColor="text1"/>
              </w:rPr>
            </w:pPr>
            <w:r w:rsidRPr="00915B33">
              <w:rPr>
                <w:bCs/>
                <w:color w:val="000000" w:themeColor="text1"/>
              </w:rPr>
              <w:t>Tableau 8</w:t>
            </w:r>
          </w:p>
        </w:tc>
        <w:tc>
          <w:tcPr>
            <w:tcW w:w="7075" w:type="dxa"/>
            <w:tcBorders>
              <w:top w:val="nil"/>
              <w:left w:val="nil"/>
              <w:bottom w:val="nil"/>
              <w:right w:val="nil"/>
            </w:tcBorders>
          </w:tcPr>
          <w:p w14:paraId="55849BBA" w14:textId="77777777" w:rsidR="00760C28" w:rsidRPr="00915B33" w:rsidRDefault="00760C28" w:rsidP="00F118C9">
            <w:pPr>
              <w:pStyle w:val="Sansinterligne"/>
              <w:rPr>
                <w:color w:val="000000" w:themeColor="text1"/>
              </w:rPr>
            </w:pPr>
            <w:r w:rsidRPr="00915B33">
              <w:rPr>
                <w:b/>
                <w:color w:val="000000" w:themeColor="text1"/>
              </w:rPr>
              <w:t xml:space="preserve"> </w:t>
            </w:r>
            <w:r w:rsidRPr="00915B33">
              <w:rPr>
                <w:color w:val="000000" w:themeColor="text1"/>
              </w:rPr>
              <w:t>Production annuelle de ferroalliage de la SAFA (en tonne)</w:t>
            </w:r>
          </w:p>
          <w:p w14:paraId="5B570736" w14:textId="77777777" w:rsidR="00760C28" w:rsidRPr="00915B33" w:rsidRDefault="00760C28" w:rsidP="00F118C9">
            <w:pPr>
              <w:pStyle w:val="Sansinterligne"/>
              <w:rPr>
                <w:b/>
                <w:color w:val="000000" w:themeColor="text1"/>
              </w:rPr>
            </w:pPr>
          </w:p>
        </w:tc>
      </w:tr>
      <w:tr w:rsidR="00915B33" w:rsidRPr="00915B33" w14:paraId="3115ABB6"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3D500E11" w14:textId="77777777" w:rsidR="00760C28" w:rsidRPr="00915B33" w:rsidRDefault="00760C28" w:rsidP="00F118C9">
            <w:pPr>
              <w:rPr>
                <w:bCs/>
                <w:color w:val="000000" w:themeColor="text1"/>
              </w:rPr>
            </w:pPr>
            <w:r w:rsidRPr="00915B33">
              <w:rPr>
                <w:bCs/>
                <w:color w:val="000000" w:themeColor="text1"/>
              </w:rPr>
              <w:t>Tableau 9</w:t>
            </w:r>
          </w:p>
        </w:tc>
        <w:tc>
          <w:tcPr>
            <w:tcW w:w="7075" w:type="dxa"/>
            <w:tcBorders>
              <w:top w:val="nil"/>
              <w:left w:val="nil"/>
              <w:bottom w:val="nil"/>
              <w:right w:val="nil"/>
            </w:tcBorders>
          </w:tcPr>
          <w:p w14:paraId="43386A68" w14:textId="77777777" w:rsidR="00760C28" w:rsidRPr="00915B33" w:rsidRDefault="00760C28" w:rsidP="00F118C9">
            <w:pPr>
              <w:pStyle w:val="Sansinterligne"/>
              <w:rPr>
                <w:b/>
                <w:color w:val="000000" w:themeColor="text1"/>
              </w:rPr>
            </w:pPr>
            <w:r w:rsidRPr="00915B33">
              <w:rPr>
                <w:b/>
                <w:color w:val="000000" w:themeColor="text1"/>
              </w:rPr>
              <w:t xml:space="preserve"> </w:t>
            </w:r>
            <w:r w:rsidRPr="00915B33">
              <w:rPr>
                <w:color w:val="000000" w:themeColor="text1"/>
              </w:rPr>
              <w:t>Présence en Mauritanie des sous-catégories 2D</w:t>
            </w:r>
          </w:p>
          <w:p w14:paraId="6656F584" w14:textId="77777777" w:rsidR="00760C28" w:rsidRPr="00915B33" w:rsidRDefault="00760C28" w:rsidP="00F118C9">
            <w:pPr>
              <w:pStyle w:val="Sansinterligne"/>
              <w:rPr>
                <w:b/>
                <w:color w:val="000000" w:themeColor="text1"/>
              </w:rPr>
            </w:pPr>
          </w:p>
        </w:tc>
      </w:tr>
      <w:tr w:rsidR="00915B33" w:rsidRPr="00915B33" w14:paraId="43220057"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27692808" w14:textId="77777777" w:rsidR="00760C28" w:rsidRPr="00915B33" w:rsidRDefault="00760C28" w:rsidP="00F118C9">
            <w:pPr>
              <w:rPr>
                <w:bCs/>
                <w:color w:val="000000" w:themeColor="text1"/>
              </w:rPr>
            </w:pPr>
            <w:r w:rsidRPr="00915B33">
              <w:rPr>
                <w:bCs/>
                <w:color w:val="000000" w:themeColor="text1"/>
              </w:rPr>
              <w:t xml:space="preserve">Tableau 10 </w:t>
            </w:r>
          </w:p>
        </w:tc>
        <w:tc>
          <w:tcPr>
            <w:tcW w:w="7075" w:type="dxa"/>
            <w:tcBorders>
              <w:top w:val="nil"/>
              <w:left w:val="nil"/>
              <w:bottom w:val="nil"/>
              <w:right w:val="nil"/>
            </w:tcBorders>
          </w:tcPr>
          <w:p w14:paraId="08317641" w14:textId="77777777" w:rsidR="00760C28" w:rsidRPr="00915B33" w:rsidRDefault="00760C28" w:rsidP="00F118C9">
            <w:pPr>
              <w:pStyle w:val="Sansinterligne"/>
              <w:rPr>
                <w:rFonts w:eastAsia="Times New Roman"/>
                <w:b/>
                <w:color w:val="000000" w:themeColor="text1"/>
                <w:lang w:eastAsia="fr-FR"/>
              </w:rPr>
            </w:pPr>
            <w:r w:rsidRPr="00915B33">
              <w:rPr>
                <w:color w:val="000000" w:themeColor="text1"/>
              </w:rPr>
              <w:t>Importations annuelles de graisses, huile et asphalte (Source SYDONIA)</w:t>
            </w:r>
          </w:p>
          <w:p w14:paraId="6C9249B1" w14:textId="77777777" w:rsidR="00760C28" w:rsidRPr="00915B33" w:rsidRDefault="00760C28" w:rsidP="00F118C9">
            <w:pPr>
              <w:pStyle w:val="Sansinterligne"/>
              <w:rPr>
                <w:b/>
                <w:color w:val="000000" w:themeColor="text1"/>
              </w:rPr>
            </w:pPr>
          </w:p>
        </w:tc>
      </w:tr>
      <w:tr w:rsidR="00915B33" w:rsidRPr="00915B33" w14:paraId="155BE071"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0A73D8F5" w14:textId="77777777" w:rsidR="00760C28" w:rsidRPr="00915B33" w:rsidRDefault="00760C28" w:rsidP="00F118C9">
            <w:pPr>
              <w:rPr>
                <w:bCs/>
                <w:color w:val="000000" w:themeColor="text1"/>
              </w:rPr>
            </w:pPr>
            <w:r w:rsidRPr="00915B33">
              <w:rPr>
                <w:bCs/>
                <w:color w:val="000000" w:themeColor="text1"/>
              </w:rPr>
              <w:t xml:space="preserve">Tableau 11 </w:t>
            </w:r>
          </w:p>
        </w:tc>
        <w:tc>
          <w:tcPr>
            <w:tcW w:w="7075" w:type="dxa"/>
            <w:tcBorders>
              <w:top w:val="nil"/>
              <w:left w:val="nil"/>
              <w:bottom w:val="nil"/>
              <w:right w:val="nil"/>
            </w:tcBorders>
          </w:tcPr>
          <w:p w14:paraId="1956F032" w14:textId="77777777" w:rsidR="00760C28" w:rsidRPr="00915B33" w:rsidRDefault="00760C28" w:rsidP="00F118C9">
            <w:pPr>
              <w:pStyle w:val="Sansinterligne"/>
              <w:rPr>
                <w:rFonts w:eastAsia="Times New Roman"/>
                <w:b/>
                <w:color w:val="000000" w:themeColor="text1"/>
                <w:lang w:eastAsia="fr-FR"/>
              </w:rPr>
            </w:pPr>
            <w:r w:rsidRPr="00915B33">
              <w:rPr>
                <w:color w:val="000000" w:themeColor="text1"/>
              </w:rPr>
              <w:t>Présence en Mauritanie des sous-catégories 2E</w:t>
            </w:r>
          </w:p>
          <w:p w14:paraId="374962B1" w14:textId="77777777" w:rsidR="00760C28" w:rsidRPr="00915B33" w:rsidRDefault="00760C28" w:rsidP="00F118C9">
            <w:pPr>
              <w:pStyle w:val="Sansinterligne"/>
              <w:rPr>
                <w:color w:val="000000" w:themeColor="text1"/>
              </w:rPr>
            </w:pPr>
          </w:p>
        </w:tc>
      </w:tr>
      <w:tr w:rsidR="00915B33" w:rsidRPr="00915B33" w14:paraId="670F7E06"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00BE151D" w14:textId="77777777" w:rsidR="00760C28" w:rsidRPr="00915B33" w:rsidRDefault="00760C28" w:rsidP="00F118C9">
            <w:pPr>
              <w:rPr>
                <w:bCs/>
                <w:color w:val="000000" w:themeColor="text1"/>
              </w:rPr>
            </w:pPr>
            <w:r w:rsidRPr="00915B33">
              <w:rPr>
                <w:bCs/>
                <w:color w:val="000000" w:themeColor="text1"/>
              </w:rPr>
              <w:t xml:space="preserve">Tableau 12 </w:t>
            </w:r>
          </w:p>
        </w:tc>
        <w:tc>
          <w:tcPr>
            <w:tcW w:w="7075" w:type="dxa"/>
            <w:tcBorders>
              <w:top w:val="nil"/>
              <w:left w:val="nil"/>
              <w:bottom w:val="nil"/>
              <w:right w:val="nil"/>
            </w:tcBorders>
          </w:tcPr>
          <w:p w14:paraId="173CA6A5" w14:textId="77777777" w:rsidR="00760C28" w:rsidRPr="00915B33" w:rsidRDefault="00760C28" w:rsidP="00F118C9">
            <w:pPr>
              <w:pStyle w:val="Sansinterligne"/>
              <w:rPr>
                <w:b/>
                <w:color w:val="000000" w:themeColor="text1"/>
              </w:rPr>
            </w:pPr>
            <w:r w:rsidRPr="00915B33">
              <w:rPr>
                <w:color w:val="000000" w:themeColor="text1"/>
              </w:rPr>
              <w:t>Présence en Mauritanie des sous-catégories 2F</w:t>
            </w:r>
          </w:p>
          <w:p w14:paraId="0CD1C8C2" w14:textId="77777777" w:rsidR="00760C28" w:rsidRPr="00915B33" w:rsidRDefault="00760C28" w:rsidP="00F118C9">
            <w:pPr>
              <w:pStyle w:val="Sansinterligne"/>
              <w:rPr>
                <w:color w:val="000000" w:themeColor="text1"/>
              </w:rPr>
            </w:pPr>
          </w:p>
        </w:tc>
      </w:tr>
      <w:tr w:rsidR="00915B33" w:rsidRPr="00915B33" w14:paraId="5691E87F"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58628F92" w14:textId="77777777" w:rsidR="00760C28" w:rsidRPr="00915B33" w:rsidRDefault="00760C28" w:rsidP="00F118C9">
            <w:pPr>
              <w:rPr>
                <w:bCs/>
                <w:color w:val="000000" w:themeColor="text1"/>
              </w:rPr>
            </w:pPr>
            <w:r w:rsidRPr="00915B33">
              <w:rPr>
                <w:bCs/>
                <w:color w:val="000000" w:themeColor="text1"/>
              </w:rPr>
              <w:t xml:space="preserve">Tableau 13 </w:t>
            </w:r>
          </w:p>
        </w:tc>
        <w:tc>
          <w:tcPr>
            <w:tcW w:w="7075" w:type="dxa"/>
            <w:tcBorders>
              <w:top w:val="nil"/>
              <w:left w:val="nil"/>
              <w:bottom w:val="nil"/>
              <w:right w:val="nil"/>
            </w:tcBorders>
          </w:tcPr>
          <w:p w14:paraId="582ABF09" w14:textId="77777777" w:rsidR="00760C28" w:rsidRPr="00915B33" w:rsidRDefault="00760C28" w:rsidP="00F118C9">
            <w:pPr>
              <w:pStyle w:val="Sansinterligne"/>
              <w:rPr>
                <w:rFonts w:eastAsia="Times New Roman"/>
                <w:color w:val="000000" w:themeColor="text1"/>
                <w:lang w:eastAsia="fr-FR"/>
              </w:rPr>
            </w:pPr>
            <w:r w:rsidRPr="00915B33">
              <w:rPr>
                <w:color w:val="000000" w:themeColor="text1"/>
              </w:rPr>
              <w:t>Présence en Mauritanie des sous-catégories 2G</w:t>
            </w:r>
          </w:p>
          <w:p w14:paraId="7AEFA4CB" w14:textId="77777777" w:rsidR="00760C28" w:rsidRPr="00915B33" w:rsidRDefault="00760C28" w:rsidP="00F118C9">
            <w:pPr>
              <w:pStyle w:val="Sansinterligne"/>
              <w:rPr>
                <w:color w:val="000000" w:themeColor="text1"/>
              </w:rPr>
            </w:pPr>
          </w:p>
        </w:tc>
      </w:tr>
      <w:tr w:rsidR="00915B33" w:rsidRPr="00915B33" w14:paraId="37525712"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36912794" w14:textId="77777777" w:rsidR="00760C28" w:rsidRPr="00915B33" w:rsidRDefault="00760C28" w:rsidP="00F118C9">
            <w:pPr>
              <w:rPr>
                <w:bCs/>
                <w:color w:val="000000" w:themeColor="text1"/>
              </w:rPr>
            </w:pPr>
            <w:r w:rsidRPr="00915B33">
              <w:rPr>
                <w:bCs/>
                <w:color w:val="000000" w:themeColor="text1"/>
              </w:rPr>
              <w:t>Tableau 14</w:t>
            </w:r>
          </w:p>
        </w:tc>
        <w:tc>
          <w:tcPr>
            <w:tcW w:w="7075" w:type="dxa"/>
            <w:tcBorders>
              <w:top w:val="nil"/>
              <w:left w:val="nil"/>
              <w:bottom w:val="nil"/>
              <w:right w:val="nil"/>
            </w:tcBorders>
          </w:tcPr>
          <w:p w14:paraId="79A831A1" w14:textId="77777777" w:rsidR="00760C28" w:rsidRPr="00915B33" w:rsidRDefault="00760C28" w:rsidP="00F118C9">
            <w:pPr>
              <w:pStyle w:val="Sansinterligne"/>
              <w:rPr>
                <w:b/>
                <w:color w:val="000000" w:themeColor="text1"/>
              </w:rPr>
            </w:pPr>
            <w:r w:rsidRPr="00915B33">
              <w:rPr>
                <w:color w:val="000000" w:themeColor="text1"/>
              </w:rPr>
              <w:t xml:space="preserve"> Présence en Mauritanie des sous-catégories 2H</w:t>
            </w:r>
          </w:p>
          <w:p w14:paraId="4484D7A9" w14:textId="77777777" w:rsidR="00760C28" w:rsidRPr="00915B33" w:rsidRDefault="00760C28" w:rsidP="00F118C9">
            <w:pPr>
              <w:pStyle w:val="Sansinterligne"/>
              <w:rPr>
                <w:color w:val="000000" w:themeColor="text1"/>
              </w:rPr>
            </w:pPr>
          </w:p>
        </w:tc>
      </w:tr>
      <w:tr w:rsidR="00915B33" w:rsidRPr="00915B33" w14:paraId="4B7ADE9D"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6CE31DDC" w14:textId="77777777" w:rsidR="00760C28" w:rsidRPr="00915B33" w:rsidRDefault="00760C28" w:rsidP="00F118C9">
            <w:pPr>
              <w:rPr>
                <w:bCs/>
                <w:color w:val="000000" w:themeColor="text1"/>
              </w:rPr>
            </w:pPr>
            <w:r w:rsidRPr="00915B33">
              <w:rPr>
                <w:bCs/>
                <w:color w:val="000000" w:themeColor="text1"/>
              </w:rPr>
              <w:t>Tableau 15</w:t>
            </w:r>
          </w:p>
        </w:tc>
        <w:tc>
          <w:tcPr>
            <w:tcW w:w="7075" w:type="dxa"/>
            <w:tcBorders>
              <w:top w:val="nil"/>
              <w:left w:val="nil"/>
              <w:bottom w:val="nil"/>
              <w:right w:val="nil"/>
            </w:tcBorders>
          </w:tcPr>
          <w:p w14:paraId="5FFD7655" w14:textId="77777777" w:rsidR="00760C28" w:rsidRPr="00915B33" w:rsidRDefault="00760C28" w:rsidP="00F118C9">
            <w:pPr>
              <w:pStyle w:val="Sansinterligne"/>
              <w:rPr>
                <w:color w:val="000000" w:themeColor="text1"/>
              </w:rPr>
            </w:pPr>
            <w:r w:rsidRPr="00915B33">
              <w:rPr>
                <w:color w:val="000000" w:themeColor="text1"/>
              </w:rPr>
              <w:t>Récapitulatif des procédés et/ou usages émetteurs de GES</w:t>
            </w:r>
          </w:p>
          <w:p w14:paraId="19B18CFF" w14:textId="77777777" w:rsidR="00760C28" w:rsidRPr="00915B33" w:rsidRDefault="00760C28" w:rsidP="00F118C9">
            <w:pPr>
              <w:pStyle w:val="Sansinterligne"/>
              <w:rPr>
                <w:color w:val="000000" w:themeColor="text1"/>
              </w:rPr>
            </w:pPr>
          </w:p>
        </w:tc>
      </w:tr>
      <w:tr w:rsidR="00915B33" w:rsidRPr="00915B33" w14:paraId="26D8D11D"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43BB0DEB" w14:textId="77777777" w:rsidR="00760C28" w:rsidRPr="00915B33" w:rsidRDefault="00760C28" w:rsidP="00F118C9">
            <w:pPr>
              <w:rPr>
                <w:bCs/>
                <w:color w:val="000000" w:themeColor="text1"/>
              </w:rPr>
            </w:pPr>
            <w:r w:rsidRPr="00915B33">
              <w:rPr>
                <w:bCs/>
                <w:color w:val="000000" w:themeColor="text1"/>
              </w:rPr>
              <w:t xml:space="preserve">Tableau 16 </w:t>
            </w:r>
          </w:p>
        </w:tc>
        <w:tc>
          <w:tcPr>
            <w:tcW w:w="7075" w:type="dxa"/>
            <w:tcBorders>
              <w:top w:val="nil"/>
              <w:left w:val="nil"/>
              <w:bottom w:val="nil"/>
              <w:right w:val="nil"/>
            </w:tcBorders>
          </w:tcPr>
          <w:p w14:paraId="7A11C4E3" w14:textId="1199BD2D" w:rsidR="00760C28" w:rsidRPr="00915B33" w:rsidRDefault="00760C28" w:rsidP="00F118C9">
            <w:pPr>
              <w:pStyle w:val="Sansinterligne"/>
              <w:rPr>
                <w:rFonts w:eastAsia="Times New Roman"/>
                <w:b/>
                <w:color w:val="000000" w:themeColor="text1"/>
                <w:lang w:eastAsia="fr-FR"/>
              </w:rPr>
            </w:pPr>
            <w:r w:rsidRPr="00915B33">
              <w:rPr>
                <w:color w:val="000000" w:themeColor="text1"/>
              </w:rPr>
              <w:t>Synthèse des émissions en GES de l’inventaire 20</w:t>
            </w:r>
            <w:r w:rsidR="00D379A1">
              <w:rPr>
                <w:color w:val="000000" w:themeColor="text1"/>
              </w:rPr>
              <w:t>22</w:t>
            </w:r>
          </w:p>
          <w:p w14:paraId="16BB3479" w14:textId="77777777" w:rsidR="00760C28" w:rsidRPr="00915B33" w:rsidRDefault="00760C28" w:rsidP="00F118C9">
            <w:pPr>
              <w:pStyle w:val="Sansinterligne"/>
              <w:rPr>
                <w:color w:val="000000" w:themeColor="text1"/>
              </w:rPr>
            </w:pPr>
          </w:p>
        </w:tc>
      </w:tr>
      <w:tr w:rsidR="00915B33" w:rsidRPr="00915B33" w14:paraId="05C933ED"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66DB0021" w14:textId="77777777" w:rsidR="00760C28" w:rsidRPr="00915B33" w:rsidRDefault="00760C28" w:rsidP="00F118C9">
            <w:pPr>
              <w:rPr>
                <w:bCs/>
                <w:color w:val="000000" w:themeColor="text1"/>
              </w:rPr>
            </w:pPr>
            <w:r w:rsidRPr="00915B33">
              <w:rPr>
                <w:bCs/>
                <w:color w:val="000000" w:themeColor="text1"/>
                <w:lang w:eastAsia="fr-FR"/>
              </w:rPr>
              <w:t xml:space="preserve">Tableau 17 </w:t>
            </w:r>
          </w:p>
        </w:tc>
        <w:tc>
          <w:tcPr>
            <w:tcW w:w="7075" w:type="dxa"/>
            <w:tcBorders>
              <w:top w:val="nil"/>
              <w:left w:val="nil"/>
              <w:bottom w:val="nil"/>
              <w:right w:val="nil"/>
            </w:tcBorders>
          </w:tcPr>
          <w:p w14:paraId="7AA0CD79" w14:textId="77777777" w:rsidR="00760C28" w:rsidRPr="00915B33" w:rsidRDefault="00760C28" w:rsidP="00F118C9">
            <w:pPr>
              <w:pStyle w:val="Sansinterligne"/>
              <w:rPr>
                <w:rFonts w:eastAsia="Times New Roman"/>
                <w:b/>
                <w:bCs/>
                <w:color w:val="000000" w:themeColor="text1"/>
                <w:lang w:eastAsia="fr-FR"/>
              </w:rPr>
            </w:pPr>
            <w:r w:rsidRPr="00915B33">
              <w:rPr>
                <w:color w:val="000000" w:themeColor="text1"/>
                <w:lang w:eastAsia="fr-FR"/>
              </w:rPr>
              <w:t>Les FE de CO</w:t>
            </w:r>
            <w:r w:rsidRPr="00915B33">
              <w:rPr>
                <w:color w:val="000000" w:themeColor="text1"/>
                <w:vertAlign w:val="subscript"/>
                <w:lang w:eastAsia="fr-FR"/>
              </w:rPr>
              <w:t>2</w:t>
            </w:r>
            <w:r w:rsidRPr="00915B33">
              <w:rPr>
                <w:color w:val="000000" w:themeColor="text1"/>
                <w:lang w:eastAsia="fr-FR"/>
              </w:rPr>
              <w:t xml:space="preserve"> des types de ferroalliages (GIEC, 2006)</w:t>
            </w:r>
            <w:r w:rsidRPr="00915B33">
              <w:rPr>
                <w:rStyle w:val="Appelnotedebasdep"/>
                <w:rFonts w:ascii="Times New Roman" w:hAnsi="Times New Roman" w:cs="Times New Roman"/>
                <w:color w:val="000000" w:themeColor="text1"/>
                <w:lang w:eastAsia="fr-FR"/>
              </w:rPr>
              <w:footnoteReference w:id="1"/>
            </w:r>
          </w:p>
          <w:p w14:paraId="05F792D9" w14:textId="77777777" w:rsidR="00760C28" w:rsidRPr="00915B33" w:rsidRDefault="00760C28" w:rsidP="00F118C9">
            <w:pPr>
              <w:pStyle w:val="Sansinterligne"/>
              <w:rPr>
                <w:color w:val="000000" w:themeColor="text1"/>
              </w:rPr>
            </w:pPr>
          </w:p>
        </w:tc>
      </w:tr>
      <w:tr w:rsidR="00915B33" w:rsidRPr="00915B33" w14:paraId="10CA1837" w14:textId="77777777" w:rsidTr="00760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52" w:type="dxa"/>
        </w:trPr>
        <w:tc>
          <w:tcPr>
            <w:tcW w:w="1555" w:type="dxa"/>
            <w:gridSpan w:val="2"/>
            <w:tcBorders>
              <w:top w:val="nil"/>
              <w:left w:val="nil"/>
              <w:bottom w:val="nil"/>
              <w:right w:val="nil"/>
            </w:tcBorders>
          </w:tcPr>
          <w:p w14:paraId="12D9BB34" w14:textId="77777777" w:rsidR="00760C28" w:rsidRPr="00915B33" w:rsidRDefault="00760C28" w:rsidP="00F118C9">
            <w:pPr>
              <w:rPr>
                <w:bCs/>
                <w:color w:val="000000" w:themeColor="text1"/>
              </w:rPr>
            </w:pPr>
            <w:r w:rsidRPr="00915B33">
              <w:rPr>
                <w:bCs/>
                <w:color w:val="000000" w:themeColor="text1"/>
              </w:rPr>
              <w:t>Tableau 18 </w:t>
            </w:r>
          </w:p>
        </w:tc>
        <w:tc>
          <w:tcPr>
            <w:tcW w:w="7075" w:type="dxa"/>
            <w:tcBorders>
              <w:top w:val="nil"/>
              <w:left w:val="nil"/>
              <w:bottom w:val="nil"/>
              <w:right w:val="nil"/>
            </w:tcBorders>
          </w:tcPr>
          <w:p w14:paraId="45EF84E5" w14:textId="77777777" w:rsidR="00760C28" w:rsidRPr="00915B33" w:rsidRDefault="00760C28" w:rsidP="00F118C9">
            <w:pPr>
              <w:pStyle w:val="Sansinterligne"/>
              <w:rPr>
                <w:color w:val="000000" w:themeColor="text1"/>
              </w:rPr>
            </w:pPr>
            <w:r w:rsidRPr="00915B33">
              <w:rPr>
                <w:bCs/>
                <w:color w:val="000000" w:themeColor="text1"/>
              </w:rPr>
              <w:t>Facteurs d’oxydation pendant l’usage des lubrifiants</w:t>
            </w:r>
          </w:p>
        </w:tc>
      </w:tr>
      <w:tr w:rsidR="00915B33" w:rsidRPr="00915B33" w14:paraId="6C649BBC" w14:textId="77777777" w:rsidTr="00760C28">
        <w:trPr>
          <w:gridAfter w:val="1"/>
          <w:wAfter w:w="52" w:type="dxa"/>
        </w:trPr>
        <w:tc>
          <w:tcPr>
            <w:tcW w:w="1555" w:type="dxa"/>
            <w:gridSpan w:val="2"/>
          </w:tcPr>
          <w:p w14:paraId="1A7A705A" w14:textId="77777777" w:rsidR="0065285D" w:rsidRPr="00915B33" w:rsidRDefault="0065285D" w:rsidP="00BC2557">
            <w:pPr>
              <w:outlineLvl w:val="0"/>
              <w:rPr>
                <w:b/>
                <w:bCs/>
                <w:color w:val="000000" w:themeColor="text1"/>
              </w:rPr>
            </w:pPr>
          </w:p>
          <w:p w14:paraId="711FDB95" w14:textId="6068405F" w:rsidR="00760C28" w:rsidRPr="00915B33" w:rsidRDefault="00760C28" w:rsidP="00BC2557">
            <w:pPr>
              <w:outlineLvl w:val="0"/>
              <w:rPr>
                <w:b/>
                <w:bCs/>
                <w:color w:val="000000" w:themeColor="text1"/>
              </w:rPr>
            </w:pPr>
          </w:p>
        </w:tc>
        <w:tc>
          <w:tcPr>
            <w:tcW w:w="7075" w:type="dxa"/>
          </w:tcPr>
          <w:p w14:paraId="1A3A539A" w14:textId="77777777" w:rsidR="00760C28" w:rsidRPr="00915B33" w:rsidRDefault="00760C28" w:rsidP="00BC2557">
            <w:pPr>
              <w:outlineLvl w:val="0"/>
              <w:rPr>
                <w:b/>
                <w:bCs/>
                <w:color w:val="000000" w:themeColor="text1"/>
              </w:rPr>
            </w:pPr>
          </w:p>
          <w:p w14:paraId="6E37C3EF" w14:textId="6634FF7D" w:rsidR="0065285D" w:rsidRPr="00915B33" w:rsidRDefault="0065285D" w:rsidP="00BC2557">
            <w:pPr>
              <w:pStyle w:val="Grandtitre"/>
              <w:outlineLvl w:val="0"/>
            </w:pPr>
            <w:bookmarkStart w:id="2" w:name="_Toc157935458"/>
            <w:r w:rsidRPr="00915B33">
              <w:t>LISTE DES GRAPHIQUES</w:t>
            </w:r>
            <w:bookmarkEnd w:id="2"/>
          </w:p>
        </w:tc>
      </w:tr>
      <w:tr w:rsidR="00915B33" w:rsidRPr="00915B33" w14:paraId="3A94E43F" w14:textId="77777777" w:rsidTr="0065285D">
        <w:trPr>
          <w:gridAfter w:val="1"/>
          <w:wAfter w:w="52" w:type="dxa"/>
        </w:trPr>
        <w:tc>
          <w:tcPr>
            <w:tcW w:w="1555" w:type="dxa"/>
            <w:gridSpan w:val="2"/>
          </w:tcPr>
          <w:p w14:paraId="6AB77B7F" w14:textId="77777777" w:rsidR="0065285D" w:rsidRPr="00915B33" w:rsidRDefault="0065285D" w:rsidP="00F118C9">
            <w:pPr>
              <w:rPr>
                <w:color w:val="000000" w:themeColor="text1"/>
              </w:rPr>
            </w:pPr>
            <w:r w:rsidRPr="00915B33">
              <w:rPr>
                <w:color w:val="000000" w:themeColor="text1"/>
              </w:rPr>
              <w:t>Graphique 1 </w:t>
            </w:r>
          </w:p>
        </w:tc>
        <w:tc>
          <w:tcPr>
            <w:tcW w:w="7075" w:type="dxa"/>
          </w:tcPr>
          <w:p w14:paraId="1C09AF40" w14:textId="77777777" w:rsidR="0065285D" w:rsidRPr="00915B33" w:rsidRDefault="0065285D" w:rsidP="00F118C9">
            <w:pPr>
              <w:pStyle w:val="Sansinterligne"/>
              <w:rPr>
                <w:color w:val="000000" w:themeColor="text1"/>
              </w:rPr>
            </w:pPr>
            <w:r w:rsidRPr="00915B33">
              <w:rPr>
                <w:color w:val="000000" w:themeColor="text1"/>
              </w:rPr>
              <w:t xml:space="preserve"> Processus de l’inventaire du secteur des PIUP</w:t>
            </w:r>
          </w:p>
        </w:tc>
      </w:tr>
      <w:tr w:rsidR="00915B33" w:rsidRPr="00915B33" w14:paraId="5F8C21DF" w14:textId="77777777" w:rsidTr="0065285D">
        <w:trPr>
          <w:gridAfter w:val="1"/>
          <w:wAfter w:w="52" w:type="dxa"/>
        </w:trPr>
        <w:tc>
          <w:tcPr>
            <w:tcW w:w="1555" w:type="dxa"/>
            <w:gridSpan w:val="2"/>
          </w:tcPr>
          <w:p w14:paraId="7D050EFD" w14:textId="77777777" w:rsidR="0065285D" w:rsidRPr="00915B33" w:rsidRDefault="0065285D" w:rsidP="00F118C9">
            <w:pPr>
              <w:rPr>
                <w:color w:val="000000" w:themeColor="text1"/>
              </w:rPr>
            </w:pPr>
            <w:r w:rsidRPr="00915B33">
              <w:rPr>
                <w:color w:val="000000" w:themeColor="text1"/>
              </w:rPr>
              <w:t xml:space="preserve">Graphique 2 </w:t>
            </w:r>
          </w:p>
        </w:tc>
        <w:tc>
          <w:tcPr>
            <w:tcW w:w="7075" w:type="dxa"/>
          </w:tcPr>
          <w:p w14:paraId="461CF267" w14:textId="77777777" w:rsidR="0065285D" w:rsidRPr="00915B33" w:rsidRDefault="0065285D" w:rsidP="00F118C9">
            <w:pPr>
              <w:pStyle w:val="Sansinterligne"/>
              <w:rPr>
                <w:color w:val="000000" w:themeColor="text1"/>
              </w:rPr>
            </w:pPr>
            <w:r w:rsidRPr="00915B33">
              <w:rPr>
                <w:color w:val="000000" w:themeColor="text1"/>
              </w:rPr>
              <w:t>Catégories et sous-catégories de PIUP (GIEC, 2006)</w:t>
            </w:r>
          </w:p>
        </w:tc>
      </w:tr>
      <w:tr w:rsidR="00915B33" w:rsidRPr="00915B33" w14:paraId="16331CDA" w14:textId="77777777" w:rsidTr="0065285D">
        <w:trPr>
          <w:gridAfter w:val="1"/>
          <w:wAfter w:w="52" w:type="dxa"/>
        </w:trPr>
        <w:tc>
          <w:tcPr>
            <w:tcW w:w="1555" w:type="dxa"/>
            <w:gridSpan w:val="2"/>
          </w:tcPr>
          <w:p w14:paraId="1DFC5AA8" w14:textId="77777777" w:rsidR="0065285D" w:rsidRPr="00915B33" w:rsidRDefault="0065285D" w:rsidP="00F118C9">
            <w:pPr>
              <w:rPr>
                <w:color w:val="000000" w:themeColor="text1"/>
              </w:rPr>
            </w:pPr>
            <w:r w:rsidRPr="00915B33">
              <w:rPr>
                <w:color w:val="000000" w:themeColor="text1"/>
              </w:rPr>
              <w:t xml:space="preserve">Graphique </w:t>
            </w:r>
            <w:r w:rsidRPr="00915B33">
              <w:rPr>
                <w:color w:val="000000" w:themeColor="text1"/>
                <w:lang w:eastAsia="fr-FR"/>
              </w:rPr>
              <w:t>3 </w:t>
            </w:r>
          </w:p>
        </w:tc>
        <w:tc>
          <w:tcPr>
            <w:tcW w:w="7075" w:type="dxa"/>
          </w:tcPr>
          <w:p w14:paraId="752E8F0F" w14:textId="7D43DA35" w:rsidR="0065285D" w:rsidRPr="00915B33" w:rsidRDefault="0065285D" w:rsidP="00F118C9">
            <w:pPr>
              <w:pStyle w:val="Sansinterligne"/>
              <w:rPr>
                <w:color w:val="000000" w:themeColor="text1"/>
              </w:rPr>
            </w:pPr>
            <w:r w:rsidRPr="00915B33">
              <w:rPr>
                <w:color w:val="000000" w:themeColor="text1"/>
              </w:rPr>
              <w:t xml:space="preserve">Proportions respectives des principaux GES </w:t>
            </w:r>
            <w:r w:rsidRPr="00915B33">
              <w:rPr>
                <w:color w:val="000000" w:themeColor="text1"/>
                <w:lang w:eastAsia="fr-FR"/>
              </w:rPr>
              <w:t>du secteur des PIUP en 20</w:t>
            </w:r>
            <w:r w:rsidR="00D379A1">
              <w:rPr>
                <w:color w:val="000000" w:themeColor="text1"/>
                <w:lang w:eastAsia="fr-FR"/>
              </w:rPr>
              <w:t>22</w:t>
            </w:r>
          </w:p>
        </w:tc>
      </w:tr>
      <w:tr w:rsidR="00915B33" w:rsidRPr="00915B33" w14:paraId="18A585DC" w14:textId="77777777" w:rsidTr="00F118C9">
        <w:trPr>
          <w:gridAfter w:val="1"/>
          <w:wAfter w:w="52" w:type="dxa"/>
        </w:trPr>
        <w:tc>
          <w:tcPr>
            <w:tcW w:w="1555" w:type="dxa"/>
            <w:gridSpan w:val="2"/>
          </w:tcPr>
          <w:p w14:paraId="41E687F9" w14:textId="77777777" w:rsidR="0065285D" w:rsidRPr="00915B33" w:rsidRDefault="0065285D" w:rsidP="00F118C9">
            <w:pPr>
              <w:rPr>
                <w:color w:val="000000" w:themeColor="text1"/>
              </w:rPr>
            </w:pPr>
            <w:r w:rsidRPr="00915B33">
              <w:rPr>
                <w:color w:val="000000" w:themeColor="text1"/>
              </w:rPr>
              <w:t xml:space="preserve">Graphique 4 </w:t>
            </w:r>
          </w:p>
        </w:tc>
        <w:tc>
          <w:tcPr>
            <w:tcW w:w="7075" w:type="dxa"/>
          </w:tcPr>
          <w:p w14:paraId="43FB3ED0" w14:textId="6E54F2E0" w:rsidR="0065285D" w:rsidRPr="00915B33" w:rsidRDefault="0065285D" w:rsidP="00F118C9">
            <w:pPr>
              <w:pStyle w:val="Sansinterligne"/>
              <w:rPr>
                <w:color w:val="000000" w:themeColor="text1"/>
              </w:rPr>
            </w:pPr>
            <w:r w:rsidRPr="00915B33">
              <w:rPr>
                <w:color w:val="000000" w:themeColor="text1"/>
              </w:rPr>
              <w:t>Evolution des émissions de CO</w:t>
            </w:r>
            <w:r w:rsidRPr="00915B33">
              <w:rPr>
                <w:color w:val="000000" w:themeColor="text1"/>
                <w:vertAlign w:val="subscript"/>
              </w:rPr>
              <w:t xml:space="preserve">2 </w:t>
            </w:r>
            <w:r w:rsidRPr="00915B33">
              <w:rPr>
                <w:color w:val="000000" w:themeColor="text1"/>
              </w:rPr>
              <w:t>des PIUP de 1990 à 20</w:t>
            </w:r>
            <w:r w:rsidR="00D379A1">
              <w:rPr>
                <w:color w:val="000000" w:themeColor="text1"/>
              </w:rPr>
              <w:t>22</w:t>
            </w:r>
          </w:p>
        </w:tc>
      </w:tr>
      <w:tr w:rsidR="00915B33" w:rsidRPr="00915B33" w14:paraId="6C273D9B" w14:textId="77777777" w:rsidTr="00F118C9">
        <w:trPr>
          <w:gridAfter w:val="1"/>
          <w:wAfter w:w="52" w:type="dxa"/>
        </w:trPr>
        <w:tc>
          <w:tcPr>
            <w:tcW w:w="1555" w:type="dxa"/>
            <w:gridSpan w:val="2"/>
          </w:tcPr>
          <w:p w14:paraId="210D09AA" w14:textId="77777777" w:rsidR="0065285D" w:rsidRPr="00915B33" w:rsidRDefault="0065285D" w:rsidP="00F118C9">
            <w:pPr>
              <w:rPr>
                <w:color w:val="000000" w:themeColor="text1"/>
              </w:rPr>
            </w:pPr>
            <w:r w:rsidRPr="00915B33">
              <w:rPr>
                <w:color w:val="000000" w:themeColor="text1"/>
              </w:rPr>
              <w:t>Graphique 5 </w:t>
            </w:r>
          </w:p>
        </w:tc>
        <w:tc>
          <w:tcPr>
            <w:tcW w:w="7075" w:type="dxa"/>
          </w:tcPr>
          <w:p w14:paraId="0C386FD7" w14:textId="77777777" w:rsidR="0065285D" w:rsidRPr="00915B33" w:rsidRDefault="0065285D" w:rsidP="00F118C9">
            <w:pPr>
              <w:pStyle w:val="Sansinterligne"/>
              <w:rPr>
                <w:color w:val="000000" w:themeColor="text1"/>
              </w:rPr>
            </w:pPr>
            <w:r w:rsidRPr="00915B33">
              <w:rPr>
                <w:color w:val="000000" w:themeColor="text1"/>
              </w:rPr>
              <w:t>Évolutions comparées des émissions annuelles des principales sources de GES des PIUP</w:t>
            </w:r>
          </w:p>
        </w:tc>
      </w:tr>
      <w:tr w:rsidR="00915B33" w:rsidRPr="00915B33" w14:paraId="01C7A9C0" w14:textId="77777777" w:rsidTr="00F118C9">
        <w:trPr>
          <w:gridAfter w:val="1"/>
          <w:wAfter w:w="52" w:type="dxa"/>
        </w:trPr>
        <w:tc>
          <w:tcPr>
            <w:tcW w:w="1555" w:type="dxa"/>
            <w:gridSpan w:val="2"/>
          </w:tcPr>
          <w:p w14:paraId="38734D7C" w14:textId="77777777" w:rsidR="0065285D" w:rsidRPr="00915B33" w:rsidRDefault="0065285D" w:rsidP="00F118C9">
            <w:pPr>
              <w:rPr>
                <w:color w:val="000000" w:themeColor="text1"/>
              </w:rPr>
            </w:pPr>
            <w:r w:rsidRPr="00915B33">
              <w:rPr>
                <w:color w:val="000000" w:themeColor="text1"/>
                <w:lang w:eastAsia="fr-FR"/>
              </w:rPr>
              <w:t>Graphique 6 </w:t>
            </w:r>
          </w:p>
        </w:tc>
        <w:tc>
          <w:tcPr>
            <w:tcW w:w="7075" w:type="dxa"/>
          </w:tcPr>
          <w:p w14:paraId="3A70505C" w14:textId="0D80CCB3" w:rsidR="0065285D" w:rsidRPr="00915B33" w:rsidRDefault="0065285D" w:rsidP="00F118C9">
            <w:pPr>
              <w:pStyle w:val="Sansinterligne"/>
              <w:rPr>
                <w:color w:val="000000" w:themeColor="text1"/>
              </w:rPr>
            </w:pPr>
            <w:r w:rsidRPr="00915B33">
              <w:rPr>
                <w:color w:val="000000" w:themeColor="text1"/>
              </w:rPr>
              <w:t>Émissions annuelles de SO</w:t>
            </w:r>
            <w:r w:rsidRPr="00915B33">
              <w:rPr>
                <w:color w:val="000000" w:themeColor="text1"/>
                <w:vertAlign w:val="subscript"/>
              </w:rPr>
              <w:t xml:space="preserve">2 </w:t>
            </w:r>
            <w:r w:rsidRPr="00915B33">
              <w:rPr>
                <w:color w:val="000000" w:themeColor="text1"/>
              </w:rPr>
              <w:t>dues à la production de ciment d</w:t>
            </w:r>
            <w:r w:rsidRPr="00915B33">
              <w:rPr>
                <w:color w:val="000000" w:themeColor="text1"/>
                <w:lang w:eastAsia="fr-FR"/>
              </w:rPr>
              <w:t>e 1990 à 20</w:t>
            </w:r>
            <w:r w:rsidR="00D379A1">
              <w:rPr>
                <w:color w:val="000000" w:themeColor="text1"/>
                <w:lang w:eastAsia="fr-FR"/>
              </w:rPr>
              <w:t>22</w:t>
            </w:r>
          </w:p>
        </w:tc>
      </w:tr>
      <w:tr w:rsidR="00915B33" w:rsidRPr="00915B33" w14:paraId="247D612A" w14:textId="77777777" w:rsidTr="00F118C9">
        <w:trPr>
          <w:gridAfter w:val="1"/>
          <w:wAfter w:w="52" w:type="dxa"/>
        </w:trPr>
        <w:tc>
          <w:tcPr>
            <w:tcW w:w="1555" w:type="dxa"/>
            <w:gridSpan w:val="2"/>
          </w:tcPr>
          <w:p w14:paraId="63C7D36F" w14:textId="77777777" w:rsidR="0065285D" w:rsidRPr="00915B33" w:rsidRDefault="0065285D" w:rsidP="00F118C9">
            <w:pPr>
              <w:rPr>
                <w:color w:val="000000" w:themeColor="text1"/>
              </w:rPr>
            </w:pPr>
            <w:r w:rsidRPr="00915B33">
              <w:rPr>
                <w:color w:val="000000" w:themeColor="text1"/>
                <w:lang w:eastAsia="fr-FR"/>
              </w:rPr>
              <w:t>Graphique 7 </w:t>
            </w:r>
          </w:p>
        </w:tc>
        <w:tc>
          <w:tcPr>
            <w:tcW w:w="7075" w:type="dxa"/>
          </w:tcPr>
          <w:p w14:paraId="04073B5F" w14:textId="77777777" w:rsidR="0065285D" w:rsidRPr="00915B33" w:rsidRDefault="0065285D" w:rsidP="00F118C9">
            <w:pPr>
              <w:pStyle w:val="Sansinterligne"/>
              <w:rPr>
                <w:color w:val="000000" w:themeColor="text1"/>
              </w:rPr>
            </w:pPr>
            <w:r w:rsidRPr="00915B33">
              <w:rPr>
                <w:color w:val="000000" w:themeColor="text1"/>
                <w:lang w:eastAsia="fr-FR"/>
              </w:rPr>
              <w:t xml:space="preserve">Récapitulatif des </w:t>
            </w:r>
            <w:r w:rsidRPr="00915B33">
              <w:rPr>
                <w:color w:val="000000" w:themeColor="text1"/>
              </w:rPr>
              <w:t>Totaux des émissions de SO</w:t>
            </w:r>
            <w:r w:rsidRPr="00915B33">
              <w:rPr>
                <w:color w:val="000000" w:themeColor="text1"/>
                <w:vertAlign w:val="subscript"/>
              </w:rPr>
              <w:t>2</w:t>
            </w:r>
            <w:r w:rsidRPr="00915B33">
              <w:rPr>
                <w:color w:val="000000" w:themeColor="text1"/>
              </w:rPr>
              <w:t xml:space="preserve"> lors des inventaires de GES</w:t>
            </w:r>
          </w:p>
        </w:tc>
      </w:tr>
      <w:tr w:rsidR="00915B33" w:rsidRPr="00915B33" w14:paraId="3244CBB1" w14:textId="77777777" w:rsidTr="00F118C9">
        <w:trPr>
          <w:gridAfter w:val="1"/>
          <w:wAfter w:w="52" w:type="dxa"/>
        </w:trPr>
        <w:tc>
          <w:tcPr>
            <w:tcW w:w="1555" w:type="dxa"/>
            <w:gridSpan w:val="2"/>
          </w:tcPr>
          <w:p w14:paraId="79053DD4" w14:textId="77777777" w:rsidR="0065285D" w:rsidRPr="00915B33" w:rsidRDefault="0065285D" w:rsidP="00F118C9">
            <w:pPr>
              <w:rPr>
                <w:color w:val="000000" w:themeColor="text1"/>
              </w:rPr>
            </w:pPr>
            <w:r w:rsidRPr="00915B33">
              <w:rPr>
                <w:color w:val="000000" w:themeColor="text1"/>
                <w:lang w:eastAsia="fr-FR"/>
              </w:rPr>
              <w:t>Graphique 8 </w:t>
            </w:r>
          </w:p>
        </w:tc>
        <w:tc>
          <w:tcPr>
            <w:tcW w:w="7075" w:type="dxa"/>
          </w:tcPr>
          <w:p w14:paraId="5921E959" w14:textId="77777777" w:rsidR="0065285D" w:rsidRPr="00915B33" w:rsidRDefault="0065285D" w:rsidP="00F118C9">
            <w:pPr>
              <w:pStyle w:val="Sansinterligne"/>
              <w:rPr>
                <w:color w:val="000000" w:themeColor="text1"/>
              </w:rPr>
            </w:pPr>
            <w:r w:rsidRPr="00915B33">
              <w:rPr>
                <w:color w:val="000000" w:themeColor="text1"/>
                <w:lang w:eastAsia="fr-FR"/>
              </w:rPr>
              <w:t>Evolution relative des émissions SO</w:t>
            </w:r>
            <w:r w:rsidRPr="00915B33">
              <w:rPr>
                <w:color w:val="000000" w:themeColor="text1"/>
                <w:vertAlign w:val="subscript"/>
                <w:lang w:eastAsia="fr-FR"/>
              </w:rPr>
              <w:t>2</w:t>
            </w:r>
          </w:p>
          <w:p w14:paraId="0501D493" w14:textId="77777777" w:rsidR="0065285D" w:rsidRPr="00915B33" w:rsidRDefault="0065285D" w:rsidP="00F118C9">
            <w:pPr>
              <w:pStyle w:val="Sansinterligne"/>
              <w:rPr>
                <w:color w:val="000000" w:themeColor="text1"/>
                <w:lang w:eastAsia="fr-FR"/>
              </w:rPr>
            </w:pPr>
          </w:p>
        </w:tc>
      </w:tr>
      <w:tr w:rsidR="00915B33" w:rsidRPr="00915B33" w14:paraId="1A1150AC" w14:textId="77777777" w:rsidTr="00F118C9">
        <w:trPr>
          <w:gridAfter w:val="1"/>
          <w:wAfter w:w="52" w:type="dxa"/>
        </w:trPr>
        <w:tc>
          <w:tcPr>
            <w:tcW w:w="1555" w:type="dxa"/>
            <w:gridSpan w:val="2"/>
          </w:tcPr>
          <w:p w14:paraId="1447194C" w14:textId="77777777" w:rsidR="0065285D" w:rsidRPr="00915B33" w:rsidRDefault="0065285D" w:rsidP="00F118C9">
            <w:pPr>
              <w:rPr>
                <w:color w:val="000000" w:themeColor="text1"/>
              </w:rPr>
            </w:pPr>
            <w:r w:rsidRPr="00915B33">
              <w:rPr>
                <w:color w:val="000000" w:themeColor="text1"/>
              </w:rPr>
              <w:t>Graphique 9</w:t>
            </w:r>
            <w:r w:rsidRPr="00915B33">
              <w:rPr>
                <w:color w:val="000000" w:themeColor="text1"/>
                <w:lang w:eastAsia="fr-FR"/>
              </w:rPr>
              <w:t> </w:t>
            </w:r>
          </w:p>
        </w:tc>
        <w:tc>
          <w:tcPr>
            <w:tcW w:w="7075" w:type="dxa"/>
          </w:tcPr>
          <w:p w14:paraId="06A243D7" w14:textId="3A7632E2" w:rsidR="0065285D" w:rsidRPr="00915B33" w:rsidRDefault="0065285D" w:rsidP="00F118C9">
            <w:pPr>
              <w:pStyle w:val="Sansinterligne"/>
              <w:rPr>
                <w:color w:val="000000" w:themeColor="text1"/>
                <w:lang w:eastAsia="fr-FR"/>
              </w:rPr>
            </w:pPr>
            <w:r w:rsidRPr="00915B33">
              <w:rPr>
                <w:color w:val="000000" w:themeColor="text1"/>
              </w:rPr>
              <w:t>Évolution des émissions de CO2 de la production de ferroalliage de 1990 à 20</w:t>
            </w:r>
            <w:r w:rsidR="00D379A1">
              <w:rPr>
                <w:color w:val="000000" w:themeColor="text1"/>
              </w:rPr>
              <w:t>22</w:t>
            </w:r>
          </w:p>
        </w:tc>
      </w:tr>
      <w:tr w:rsidR="00915B33" w:rsidRPr="00915B33" w14:paraId="1D61D6A2" w14:textId="77777777" w:rsidTr="00F118C9">
        <w:trPr>
          <w:gridAfter w:val="1"/>
          <w:wAfter w:w="52" w:type="dxa"/>
        </w:trPr>
        <w:tc>
          <w:tcPr>
            <w:tcW w:w="1555" w:type="dxa"/>
            <w:gridSpan w:val="2"/>
          </w:tcPr>
          <w:p w14:paraId="2550877D" w14:textId="77777777" w:rsidR="0065285D" w:rsidRPr="00915B33" w:rsidRDefault="0065285D" w:rsidP="00F118C9">
            <w:pPr>
              <w:rPr>
                <w:color w:val="000000" w:themeColor="text1"/>
              </w:rPr>
            </w:pPr>
            <w:r w:rsidRPr="00915B33">
              <w:rPr>
                <w:color w:val="000000" w:themeColor="text1"/>
              </w:rPr>
              <w:t>Graphique 10</w:t>
            </w:r>
            <w:r w:rsidRPr="00915B33">
              <w:rPr>
                <w:color w:val="000000" w:themeColor="text1"/>
                <w:lang w:eastAsia="fr-FR"/>
              </w:rPr>
              <w:t> </w:t>
            </w:r>
          </w:p>
        </w:tc>
        <w:tc>
          <w:tcPr>
            <w:tcW w:w="7075" w:type="dxa"/>
          </w:tcPr>
          <w:p w14:paraId="1D6A984F" w14:textId="77777777" w:rsidR="0065285D" w:rsidRPr="00915B33" w:rsidRDefault="0065285D" w:rsidP="00F118C9">
            <w:pPr>
              <w:pStyle w:val="Sansinterligne"/>
              <w:rPr>
                <w:color w:val="000000" w:themeColor="text1"/>
                <w:lang w:eastAsia="fr-FR"/>
              </w:rPr>
            </w:pPr>
            <w:r w:rsidRPr="00915B33">
              <w:rPr>
                <w:color w:val="000000" w:themeColor="text1"/>
              </w:rPr>
              <w:t xml:space="preserve">Taux de variation des émissions de CO2 </w:t>
            </w:r>
            <w:r w:rsidRPr="00915B33">
              <w:rPr>
                <w:color w:val="000000" w:themeColor="text1"/>
                <w:lang w:eastAsia="fr-FR"/>
              </w:rPr>
              <w:t>entre les différents IGES</w:t>
            </w:r>
          </w:p>
        </w:tc>
      </w:tr>
      <w:tr w:rsidR="00915B33" w:rsidRPr="00915B33" w14:paraId="7441B5D5" w14:textId="77777777" w:rsidTr="00F118C9">
        <w:trPr>
          <w:gridAfter w:val="1"/>
          <w:wAfter w:w="52" w:type="dxa"/>
        </w:trPr>
        <w:tc>
          <w:tcPr>
            <w:tcW w:w="1555" w:type="dxa"/>
            <w:gridSpan w:val="2"/>
          </w:tcPr>
          <w:p w14:paraId="4D73C6B7" w14:textId="77777777" w:rsidR="0065285D" w:rsidRPr="00915B33" w:rsidRDefault="0065285D" w:rsidP="00F118C9">
            <w:pPr>
              <w:rPr>
                <w:color w:val="000000" w:themeColor="text1"/>
              </w:rPr>
            </w:pPr>
            <w:r w:rsidRPr="00915B33">
              <w:rPr>
                <w:color w:val="000000" w:themeColor="text1"/>
              </w:rPr>
              <w:t xml:space="preserve">Graphique 11 </w:t>
            </w:r>
          </w:p>
        </w:tc>
        <w:tc>
          <w:tcPr>
            <w:tcW w:w="7075" w:type="dxa"/>
          </w:tcPr>
          <w:p w14:paraId="6D9B275B" w14:textId="604F7D27" w:rsidR="0065285D" w:rsidRPr="00915B33" w:rsidRDefault="0065285D" w:rsidP="00F118C9">
            <w:pPr>
              <w:pStyle w:val="Sansinterligne"/>
              <w:rPr>
                <w:color w:val="000000" w:themeColor="text1"/>
              </w:rPr>
            </w:pPr>
            <w:r w:rsidRPr="00915B33">
              <w:rPr>
                <w:color w:val="000000" w:themeColor="text1"/>
              </w:rPr>
              <w:t>Évolutions des émissions de CO2 dues à l'usage de lubrifiants 1990-20</w:t>
            </w:r>
            <w:r w:rsidR="00D379A1">
              <w:rPr>
                <w:color w:val="000000" w:themeColor="text1"/>
              </w:rPr>
              <w:t>22</w:t>
            </w:r>
          </w:p>
        </w:tc>
      </w:tr>
      <w:tr w:rsidR="00915B33" w:rsidRPr="00915B33" w14:paraId="64EEC291" w14:textId="77777777" w:rsidTr="00F118C9">
        <w:trPr>
          <w:gridAfter w:val="1"/>
          <w:wAfter w:w="52" w:type="dxa"/>
        </w:trPr>
        <w:tc>
          <w:tcPr>
            <w:tcW w:w="1555" w:type="dxa"/>
            <w:gridSpan w:val="2"/>
          </w:tcPr>
          <w:p w14:paraId="17E99C40" w14:textId="77777777" w:rsidR="0065285D" w:rsidRPr="00915B33" w:rsidRDefault="0065285D" w:rsidP="00F118C9">
            <w:pPr>
              <w:rPr>
                <w:color w:val="000000" w:themeColor="text1"/>
              </w:rPr>
            </w:pPr>
            <w:r w:rsidRPr="00915B33">
              <w:rPr>
                <w:color w:val="000000" w:themeColor="text1"/>
              </w:rPr>
              <w:t>Graphique 12</w:t>
            </w:r>
          </w:p>
        </w:tc>
        <w:tc>
          <w:tcPr>
            <w:tcW w:w="7075" w:type="dxa"/>
          </w:tcPr>
          <w:p w14:paraId="781BFE11" w14:textId="77777777" w:rsidR="0065285D" w:rsidRPr="00915B33" w:rsidRDefault="0065285D" w:rsidP="00F118C9">
            <w:pPr>
              <w:pStyle w:val="Sansinterligne"/>
              <w:rPr>
                <w:color w:val="000000" w:themeColor="text1"/>
              </w:rPr>
            </w:pPr>
            <w:r w:rsidRPr="00915B33">
              <w:rPr>
                <w:color w:val="000000" w:themeColor="text1"/>
              </w:rPr>
              <w:t>Taux de variation des émissions de COVNM des lubrifiants</w:t>
            </w:r>
          </w:p>
        </w:tc>
      </w:tr>
    </w:tbl>
    <w:p w14:paraId="7B577246" w14:textId="77777777" w:rsidR="00F27423" w:rsidRPr="00915B33" w:rsidRDefault="00F27423">
      <w:pPr>
        <w:jc w:val="both"/>
        <w:rPr>
          <w:rFonts w:ascii="Times New Roman" w:hAnsi="Times New Roman" w:cs="Times New Roman"/>
          <w:color w:val="000000" w:themeColor="text1"/>
        </w:rPr>
      </w:pPr>
    </w:p>
    <w:p w14:paraId="64C7D439" w14:textId="77777777" w:rsidR="00F27423" w:rsidRPr="00915B33" w:rsidRDefault="00F27423">
      <w:pPr>
        <w:jc w:val="both"/>
        <w:rPr>
          <w:rFonts w:ascii="Times New Roman" w:hAnsi="Times New Roman" w:cs="Times New Roman"/>
          <w:color w:val="000000" w:themeColor="text1"/>
        </w:rPr>
      </w:pPr>
    </w:p>
    <w:p w14:paraId="61258504" w14:textId="77777777" w:rsidR="00F27423" w:rsidRPr="00915B33" w:rsidRDefault="00F27423">
      <w:pPr>
        <w:jc w:val="both"/>
        <w:rPr>
          <w:rFonts w:ascii="Times New Roman" w:hAnsi="Times New Roman" w:cs="Times New Roman"/>
          <w:color w:val="000000" w:themeColor="text1"/>
        </w:rPr>
      </w:pPr>
    </w:p>
    <w:p w14:paraId="776CE362" w14:textId="77777777" w:rsidR="00F27423" w:rsidRPr="00915B33" w:rsidRDefault="00F27423">
      <w:pPr>
        <w:jc w:val="both"/>
        <w:rPr>
          <w:rFonts w:ascii="Times New Roman" w:hAnsi="Times New Roman" w:cs="Times New Roman"/>
          <w:color w:val="000000" w:themeColor="text1"/>
        </w:rPr>
      </w:pPr>
    </w:p>
    <w:p w14:paraId="275C2D40" w14:textId="77777777" w:rsidR="00F27423" w:rsidRPr="00915B33" w:rsidRDefault="00F27423">
      <w:pPr>
        <w:jc w:val="both"/>
        <w:rPr>
          <w:rFonts w:ascii="Times New Roman" w:hAnsi="Times New Roman" w:cs="Times New Roman"/>
          <w:color w:val="000000" w:themeColor="text1"/>
        </w:rPr>
      </w:pPr>
    </w:p>
    <w:p w14:paraId="1640B377" w14:textId="77777777" w:rsidR="00F27423" w:rsidRPr="00915B33" w:rsidRDefault="00F27423">
      <w:pPr>
        <w:jc w:val="both"/>
        <w:rPr>
          <w:rFonts w:ascii="Times New Roman" w:hAnsi="Times New Roman" w:cs="Times New Roman"/>
          <w:color w:val="000000" w:themeColor="text1"/>
        </w:rPr>
      </w:pPr>
    </w:p>
    <w:p w14:paraId="4B318D15" w14:textId="42333DFB" w:rsidR="00F27423" w:rsidRPr="00915B33" w:rsidRDefault="00F27423">
      <w:pPr>
        <w:jc w:val="both"/>
        <w:rPr>
          <w:rFonts w:ascii="Times New Roman" w:hAnsi="Times New Roman" w:cs="Times New Roman"/>
          <w:color w:val="000000" w:themeColor="text1"/>
        </w:rPr>
      </w:pPr>
    </w:p>
    <w:p w14:paraId="42DDA87D" w14:textId="4C95A93D" w:rsidR="00980C51" w:rsidRPr="00915B33" w:rsidRDefault="00980C51">
      <w:pPr>
        <w:jc w:val="both"/>
        <w:rPr>
          <w:rFonts w:ascii="Times New Roman" w:hAnsi="Times New Roman" w:cs="Times New Roman"/>
          <w:color w:val="000000" w:themeColor="text1"/>
        </w:rPr>
      </w:pPr>
    </w:p>
    <w:p w14:paraId="248A5D3B" w14:textId="6B2772A1" w:rsidR="00980C51" w:rsidRPr="00915B33" w:rsidRDefault="00980C51">
      <w:pPr>
        <w:jc w:val="both"/>
        <w:rPr>
          <w:rFonts w:ascii="Times New Roman" w:hAnsi="Times New Roman" w:cs="Times New Roman"/>
          <w:color w:val="000000" w:themeColor="text1"/>
        </w:rPr>
      </w:pPr>
    </w:p>
    <w:p w14:paraId="63656E4A" w14:textId="77777777" w:rsidR="00980C51" w:rsidRPr="00915B33" w:rsidRDefault="00980C51">
      <w:pPr>
        <w:jc w:val="both"/>
        <w:rPr>
          <w:rFonts w:ascii="Times New Roman" w:hAnsi="Times New Roman" w:cs="Times New Roman"/>
          <w:color w:val="000000" w:themeColor="text1"/>
        </w:rPr>
      </w:pPr>
    </w:p>
    <w:p w14:paraId="46FE48F4" w14:textId="3E07EDB8" w:rsidR="00F27423" w:rsidRDefault="00F27423">
      <w:pPr>
        <w:jc w:val="both"/>
        <w:rPr>
          <w:rFonts w:ascii="Times New Roman" w:hAnsi="Times New Roman" w:cs="Times New Roman"/>
          <w:color w:val="000000" w:themeColor="text1"/>
        </w:rPr>
      </w:pPr>
    </w:p>
    <w:p w14:paraId="51379365" w14:textId="01A3FDA8" w:rsidR="00F06B8A" w:rsidRDefault="00F06B8A">
      <w:pPr>
        <w:jc w:val="both"/>
        <w:rPr>
          <w:rFonts w:ascii="Times New Roman" w:hAnsi="Times New Roman" w:cs="Times New Roman"/>
          <w:color w:val="000000" w:themeColor="text1"/>
        </w:rPr>
      </w:pPr>
    </w:p>
    <w:p w14:paraId="0B46D400" w14:textId="77777777" w:rsidR="00C461EA" w:rsidRDefault="00C461EA">
      <w:pPr>
        <w:jc w:val="both"/>
        <w:rPr>
          <w:rFonts w:ascii="Times New Roman" w:hAnsi="Times New Roman" w:cs="Times New Roman"/>
          <w:color w:val="000000" w:themeColor="text1"/>
        </w:rPr>
      </w:pPr>
    </w:p>
    <w:p w14:paraId="15056845" w14:textId="77777777" w:rsidR="00F06B8A" w:rsidRPr="00915B33" w:rsidRDefault="00F06B8A">
      <w:pPr>
        <w:jc w:val="both"/>
        <w:rPr>
          <w:rFonts w:ascii="Times New Roman" w:hAnsi="Times New Roman" w:cs="Times New Roman"/>
          <w:color w:val="000000" w:themeColor="text1"/>
        </w:rPr>
      </w:pPr>
    </w:p>
    <w:p w14:paraId="6E9B678A" w14:textId="77777777" w:rsidR="001E0D9B" w:rsidRPr="00915B33" w:rsidRDefault="001E0D9B" w:rsidP="00BC2557">
      <w:pPr>
        <w:pStyle w:val="Grandtitre"/>
        <w:outlineLvl w:val="0"/>
        <w:rPr>
          <w:lang w:val="fr-FR"/>
        </w:rPr>
      </w:pPr>
      <w:bookmarkStart w:id="3" w:name="_Toc157935459"/>
      <w:r w:rsidRPr="00915B33">
        <w:rPr>
          <w:lang w:val="fr-FR"/>
        </w:rPr>
        <w:t xml:space="preserve">Résumé </w:t>
      </w:r>
      <w:r w:rsidRPr="00F06B8A">
        <w:t>exécutif</w:t>
      </w:r>
      <w:bookmarkEnd w:id="3"/>
    </w:p>
    <w:p w14:paraId="5AE00C4C" w14:textId="662599FA" w:rsidR="001E0D9B" w:rsidRPr="00915B33" w:rsidRDefault="001E0D9B" w:rsidP="001E0D9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Ce rapport s’inscrit dans le cadre d</w:t>
      </w:r>
      <w:r w:rsidR="008A508C" w:rsidRPr="00915B33">
        <w:rPr>
          <w:rFonts w:ascii="Times New Roman" w:hAnsi="Times New Roman" w:cs="Times New Roman"/>
          <w:color w:val="000000" w:themeColor="text1"/>
        </w:rPr>
        <w:t xml:space="preserve">es séries </w:t>
      </w:r>
      <w:r w:rsidR="00371814" w:rsidRPr="00915B33">
        <w:rPr>
          <w:rFonts w:ascii="Times New Roman" w:hAnsi="Times New Roman" w:cs="Times New Roman"/>
          <w:color w:val="000000" w:themeColor="text1"/>
        </w:rPr>
        <w:t>régulières</w:t>
      </w:r>
      <w:r w:rsidR="008A508C" w:rsidRPr="00915B33">
        <w:rPr>
          <w:rFonts w:ascii="Times New Roman" w:hAnsi="Times New Roman" w:cs="Times New Roman"/>
          <w:color w:val="000000" w:themeColor="text1"/>
        </w:rPr>
        <w:t xml:space="preserve"> de communication nationale que la Mauritanie réalise po</w:t>
      </w:r>
      <w:r w:rsidRPr="00915B33">
        <w:rPr>
          <w:rFonts w:ascii="Times New Roman" w:hAnsi="Times New Roman" w:cs="Times New Roman"/>
          <w:color w:val="000000" w:themeColor="text1"/>
        </w:rPr>
        <w:t>u</w:t>
      </w:r>
      <w:r w:rsidR="008A508C" w:rsidRPr="00915B33">
        <w:rPr>
          <w:rFonts w:ascii="Times New Roman" w:hAnsi="Times New Roman" w:cs="Times New Roman"/>
          <w:color w:val="000000" w:themeColor="text1"/>
        </w:rPr>
        <w:t xml:space="preserve">r se </w:t>
      </w:r>
      <w:r w:rsidR="00371814" w:rsidRPr="00915B33">
        <w:rPr>
          <w:rFonts w:ascii="Times New Roman" w:hAnsi="Times New Roman" w:cs="Times New Roman"/>
          <w:color w:val="000000" w:themeColor="text1"/>
        </w:rPr>
        <w:t>conformer</w:t>
      </w:r>
      <w:r w:rsidR="008A508C" w:rsidRPr="00915B33">
        <w:rPr>
          <w:rFonts w:ascii="Times New Roman" w:hAnsi="Times New Roman" w:cs="Times New Roman"/>
          <w:color w:val="000000" w:themeColor="text1"/>
        </w:rPr>
        <w:t xml:space="preserve"> à ses </w:t>
      </w:r>
      <w:r w:rsidR="00371814" w:rsidRPr="00915B33">
        <w:rPr>
          <w:rFonts w:ascii="Times New Roman" w:hAnsi="Times New Roman" w:cs="Times New Roman"/>
          <w:color w:val="000000" w:themeColor="text1"/>
        </w:rPr>
        <w:t>engagements</w:t>
      </w:r>
      <w:r w:rsidR="008A508C" w:rsidRPr="00915B33">
        <w:rPr>
          <w:rFonts w:ascii="Times New Roman" w:hAnsi="Times New Roman" w:cs="Times New Roman"/>
          <w:color w:val="000000" w:themeColor="text1"/>
        </w:rPr>
        <w:t xml:space="preserve"> pris dans le cadre de la Convention</w:t>
      </w:r>
      <w:r w:rsidR="002C4319" w:rsidRPr="00915B33">
        <w:rPr>
          <w:rFonts w:ascii="Times New Roman" w:hAnsi="Times New Roman" w:cs="Times New Roman"/>
          <w:color w:val="000000" w:themeColor="text1"/>
        </w:rPr>
        <w:t>-</w:t>
      </w:r>
      <w:r w:rsidR="008A508C" w:rsidRPr="00915B33">
        <w:rPr>
          <w:rFonts w:ascii="Times New Roman" w:hAnsi="Times New Roman" w:cs="Times New Roman"/>
          <w:color w:val="000000" w:themeColor="text1"/>
        </w:rPr>
        <w:t xml:space="preserve">cadre des </w:t>
      </w:r>
      <w:r w:rsidR="002C4319" w:rsidRPr="00915B33">
        <w:rPr>
          <w:rFonts w:ascii="Times New Roman" w:hAnsi="Times New Roman" w:cs="Times New Roman"/>
          <w:color w:val="000000" w:themeColor="text1"/>
        </w:rPr>
        <w:t>N</w:t>
      </w:r>
      <w:r w:rsidR="008A508C" w:rsidRPr="00915B33">
        <w:rPr>
          <w:rFonts w:ascii="Times New Roman" w:hAnsi="Times New Roman" w:cs="Times New Roman"/>
          <w:color w:val="000000" w:themeColor="text1"/>
        </w:rPr>
        <w:t>atio</w:t>
      </w:r>
      <w:r w:rsidR="002C4319" w:rsidRPr="00915B33">
        <w:rPr>
          <w:rFonts w:ascii="Times New Roman" w:hAnsi="Times New Roman" w:cs="Times New Roman"/>
          <w:color w:val="000000" w:themeColor="text1"/>
        </w:rPr>
        <w:t>ns unies sur les changements climatiques.</w:t>
      </w:r>
    </w:p>
    <w:p w14:paraId="6044AC07" w14:textId="2FB3F9BD" w:rsidR="001E0D9B" w:rsidRPr="00915B33" w:rsidRDefault="001E0D9B" w:rsidP="001E0D9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Le cadre institutionnel qui préside à la réalisation du processus n’a connu aucun changement depuis deux ans. Aussi, le tissu industriel national qui constitue la principale source des données n’a pas été marqué par une quelconque évolution notable susceptible de modifier la nature de celles-ci. Sur le plan méthodologique, les modèles de </w:t>
      </w:r>
      <w:r w:rsidR="00431BF6" w:rsidRPr="00915B33">
        <w:rPr>
          <w:rFonts w:ascii="Times New Roman" w:hAnsi="Times New Roman" w:cs="Times New Roman"/>
          <w:color w:val="000000" w:themeColor="text1"/>
        </w:rPr>
        <w:t>calcul préconisé</w:t>
      </w:r>
      <w:r w:rsidRPr="00915B33">
        <w:rPr>
          <w:rFonts w:ascii="Times New Roman" w:hAnsi="Times New Roman" w:cs="Times New Roman"/>
          <w:color w:val="000000" w:themeColor="text1"/>
        </w:rPr>
        <w:t xml:space="preserve"> par le GIEC n’ont pas varié. </w:t>
      </w:r>
    </w:p>
    <w:p w14:paraId="249EA137" w14:textId="55E89D4D" w:rsidR="001E4459" w:rsidRPr="00915B33" w:rsidRDefault="00AF6C39" w:rsidP="001E0D9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Dans ce cadre, </w:t>
      </w:r>
      <w:r w:rsidR="00C23D57" w:rsidRPr="00915B33">
        <w:rPr>
          <w:rFonts w:ascii="Times New Roman" w:hAnsi="Times New Roman" w:cs="Times New Roman"/>
          <w:color w:val="000000" w:themeColor="text1"/>
        </w:rPr>
        <w:t xml:space="preserve">une collecte de données a été effectuée auprès des entreprises détentrices de ces informations. </w:t>
      </w:r>
      <w:r w:rsidR="005D6859" w:rsidRPr="00915B33">
        <w:rPr>
          <w:rFonts w:ascii="Times New Roman" w:hAnsi="Times New Roman" w:cs="Times New Roman"/>
          <w:color w:val="000000" w:themeColor="text1"/>
        </w:rPr>
        <w:t>Ces dernières sont relatées dans ce rapport à la section consacrée aux données d’activité. À l’issue de cet i</w:t>
      </w:r>
      <w:r w:rsidR="006940B8" w:rsidRPr="00915B33">
        <w:rPr>
          <w:rFonts w:ascii="Times New Roman" w:hAnsi="Times New Roman" w:cs="Times New Roman"/>
          <w:color w:val="000000" w:themeColor="text1"/>
        </w:rPr>
        <w:t>nventaire de gaz à effet de serre</w:t>
      </w:r>
      <w:r w:rsidR="0004424F" w:rsidRPr="00915B33">
        <w:rPr>
          <w:rFonts w:ascii="Times New Roman" w:hAnsi="Times New Roman" w:cs="Times New Roman"/>
          <w:color w:val="000000" w:themeColor="text1"/>
        </w:rPr>
        <w:t xml:space="preserve"> (GES)</w:t>
      </w:r>
      <w:r w:rsidR="005D6859" w:rsidRPr="00915B33">
        <w:rPr>
          <w:rFonts w:ascii="Times New Roman" w:hAnsi="Times New Roman" w:cs="Times New Roman"/>
          <w:color w:val="000000" w:themeColor="text1"/>
        </w:rPr>
        <w:t>, des</w:t>
      </w:r>
      <w:r w:rsidRPr="00915B33">
        <w:rPr>
          <w:rFonts w:ascii="Times New Roman" w:hAnsi="Times New Roman" w:cs="Times New Roman"/>
          <w:color w:val="000000" w:themeColor="text1"/>
        </w:rPr>
        <w:t xml:space="preserve"> </w:t>
      </w:r>
      <w:r w:rsidR="006940B8" w:rsidRPr="00915B33">
        <w:rPr>
          <w:rFonts w:ascii="Times New Roman" w:hAnsi="Times New Roman" w:cs="Times New Roman"/>
          <w:color w:val="000000" w:themeColor="text1"/>
        </w:rPr>
        <w:t>calcul</w:t>
      </w:r>
      <w:r w:rsidRPr="00915B33">
        <w:rPr>
          <w:rFonts w:ascii="Times New Roman" w:hAnsi="Times New Roman" w:cs="Times New Roman"/>
          <w:color w:val="000000" w:themeColor="text1"/>
        </w:rPr>
        <w:t>s</w:t>
      </w:r>
      <w:r w:rsidR="006940B8" w:rsidRPr="00915B33">
        <w:rPr>
          <w:rFonts w:ascii="Times New Roman" w:hAnsi="Times New Roman" w:cs="Times New Roman"/>
          <w:color w:val="000000" w:themeColor="text1"/>
        </w:rPr>
        <w:t xml:space="preserve"> </w:t>
      </w:r>
      <w:r w:rsidR="005D6859" w:rsidRPr="00915B33">
        <w:rPr>
          <w:rFonts w:ascii="Times New Roman" w:hAnsi="Times New Roman" w:cs="Times New Roman"/>
          <w:color w:val="000000" w:themeColor="text1"/>
        </w:rPr>
        <w:t>ont été faites pour estimer les é</w:t>
      </w:r>
      <w:r w:rsidR="006940B8" w:rsidRPr="00915B33">
        <w:rPr>
          <w:rFonts w:ascii="Times New Roman" w:hAnsi="Times New Roman" w:cs="Times New Roman"/>
          <w:color w:val="000000" w:themeColor="text1"/>
        </w:rPr>
        <w:t>missions</w:t>
      </w:r>
      <w:r w:rsidRPr="00915B33">
        <w:rPr>
          <w:rFonts w:ascii="Times New Roman" w:hAnsi="Times New Roman" w:cs="Times New Roman"/>
          <w:color w:val="000000" w:themeColor="text1"/>
        </w:rPr>
        <w:t xml:space="preserve"> émanant des processus industriels des activités</w:t>
      </w:r>
      <w:r w:rsidR="001E4459" w:rsidRPr="00915B33">
        <w:rPr>
          <w:rFonts w:ascii="Times New Roman" w:hAnsi="Times New Roman" w:cs="Times New Roman"/>
          <w:color w:val="000000" w:themeColor="text1"/>
        </w:rPr>
        <w:t xml:space="preserve"> du secteur des procédés industriels et utilisation de produits (PIUP).</w:t>
      </w:r>
      <w:r w:rsidR="001514A3" w:rsidRPr="00915B33">
        <w:rPr>
          <w:rFonts w:ascii="Times New Roman" w:hAnsi="Times New Roman" w:cs="Times New Roman"/>
          <w:color w:val="000000" w:themeColor="text1"/>
        </w:rPr>
        <w:t xml:space="preserve"> </w:t>
      </w:r>
    </w:p>
    <w:p w14:paraId="6A0E2675" w14:textId="41A92A74" w:rsidR="0004424F" w:rsidRPr="00915B33" w:rsidRDefault="001514A3" w:rsidP="0004424F">
      <w:pPr>
        <w:spacing w:line="360" w:lineRule="auto"/>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rPr>
        <w:t>Cet exercice a montré qu’en Mauritanie, l</w:t>
      </w:r>
      <w:r w:rsidR="001E0D9B" w:rsidRPr="00915B33">
        <w:rPr>
          <w:rFonts w:ascii="Times New Roman" w:hAnsi="Times New Roman" w:cs="Times New Roman"/>
          <w:color w:val="000000" w:themeColor="text1"/>
        </w:rPr>
        <w:t>e secteur des PIUP demeure le plus bas contributeur aux émissions nationales de GES en raison de la faiblesse du tissu industriel local d’une part, et du fait que l’essentiel des processus de fabrication responsables de la production des GES se déroulent à l’étranger dans les pays d’importation.</w:t>
      </w:r>
      <w:r w:rsidR="0004424F" w:rsidRPr="00915B33">
        <w:rPr>
          <w:rFonts w:ascii="Times New Roman" w:hAnsi="Times New Roman" w:cs="Times New Roman"/>
          <w:color w:val="000000" w:themeColor="text1"/>
        </w:rPr>
        <w:t xml:space="preserve"> Les principales émissions de GES proviennent de l’industrie métallurgique et des cimenteries </w:t>
      </w:r>
      <w:r w:rsidR="0088471B" w:rsidRPr="00915B33">
        <w:rPr>
          <w:rFonts w:ascii="Times New Roman" w:hAnsi="Times New Roman" w:cs="Times New Roman"/>
          <w:color w:val="000000" w:themeColor="text1"/>
        </w:rPr>
        <w:t xml:space="preserve">et dans une moindre mesure des activités faisant usage des lubrifiants. Le classement des </w:t>
      </w:r>
      <w:r w:rsidR="00371814" w:rsidRPr="00915B33">
        <w:rPr>
          <w:rFonts w:ascii="Times New Roman" w:hAnsi="Times New Roman" w:cs="Times New Roman"/>
          <w:color w:val="000000" w:themeColor="text1"/>
        </w:rPr>
        <w:t>émissions</w:t>
      </w:r>
      <w:r w:rsidR="0088471B" w:rsidRPr="00915B33">
        <w:rPr>
          <w:rFonts w:ascii="Times New Roman" w:hAnsi="Times New Roman" w:cs="Times New Roman"/>
          <w:color w:val="000000" w:themeColor="text1"/>
        </w:rPr>
        <w:t xml:space="preserve"> de ces activités </w:t>
      </w:r>
      <w:r w:rsidR="0004424F" w:rsidRPr="00915B33">
        <w:rPr>
          <w:rFonts w:ascii="Times New Roman" w:hAnsi="Times New Roman" w:cs="Times New Roman"/>
          <w:color w:val="000000" w:themeColor="text1"/>
        </w:rPr>
        <w:t>montre que le CO2, le HFCs-134a, et le COVNM sont les émissions dominantes. Ce trio est dominé par le CO2 représente 41% des émissions. Les deux autres ont des valeurs quasi-équivalentes avec respectivement 30% et 29%. Les quantités des émissions de CH4 et SO2 sont inférieures à 1%.</w:t>
      </w:r>
      <w:r w:rsidR="0088471B" w:rsidRPr="00915B33">
        <w:rPr>
          <w:rFonts w:ascii="Times New Roman" w:hAnsi="Times New Roman" w:cs="Times New Roman"/>
          <w:color w:val="000000" w:themeColor="text1"/>
        </w:rPr>
        <w:t xml:space="preserve"> </w:t>
      </w:r>
      <w:r w:rsidR="0004424F" w:rsidRPr="00915B33">
        <w:rPr>
          <w:rFonts w:ascii="Times New Roman" w:hAnsi="Times New Roman" w:cs="Times New Roman"/>
          <w:color w:val="000000" w:themeColor="text1"/>
          <w:lang w:eastAsia="fr-FR"/>
        </w:rPr>
        <w:t>I</w:t>
      </w:r>
      <w:r w:rsidR="0004424F" w:rsidRPr="00915B33">
        <w:rPr>
          <w:rFonts w:ascii="Times New Roman" w:hAnsi="Times New Roman" w:cs="Times New Roman"/>
          <w:color w:val="000000" w:themeColor="text1"/>
        </w:rPr>
        <w:t>l découle de ces calculs que les proportions des principaux GES sont restées stables par rapport à l’exercice 202</w:t>
      </w:r>
      <w:r w:rsidR="0088471B" w:rsidRPr="00915B33">
        <w:rPr>
          <w:rFonts w:ascii="Times New Roman" w:hAnsi="Times New Roman" w:cs="Times New Roman"/>
          <w:color w:val="000000" w:themeColor="text1"/>
        </w:rPr>
        <w:t>0</w:t>
      </w:r>
      <w:r w:rsidR="0004424F" w:rsidRPr="00915B33">
        <w:rPr>
          <w:rFonts w:ascii="Times New Roman" w:hAnsi="Times New Roman" w:cs="Times New Roman"/>
          <w:color w:val="000000" w:themeColor="text1"/>
        </w:rPr>
        <w:t>.</w:t>
      </w:r>
    </w:p>
    <w:p w14:paraId="213521BA" w14:textId="77777777" w:rsidR="00F06B8A" w:rsidRDefault="001514A3" w:rsidP="001514A3">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Des difficultés ont été rencontrées quant à la réactivité de certains partenaires et de certaines entreprises pour fournir les données nécessaires. Cet obstacle, lors de la compilation des données, se traduit par des incertitudes au niveau des estimations des émissions calculées. Des efforts pour amener les différents partenaires à une meilleure collaboration sont souhaitables. Ils devraient surtout viser à lever les appréhensions de certaines cimenteries qui sont les plus réticentes à livrer leurs statistiques de production. Des recommandations allant dans ce sens sont formulées. Elles consistent à initier des rencontres directes entre la CCPNCC et les unités de production de ciment. Lesquelles devraient être plus portées à assister aux rencontres d’échanges que la CCPNCC organise régulièrement. Une meilleure implication du ministère de tutelle permettrait d’y parvenir.</w:t>
      </w:r>
    </w:p>
    <w:p w14:paraId="17C306B8" w14:textId="3C9AFEFE" w:rsidR="001514A3" w:rsidRPr="00915B33" w:rsidRDefault="001514A3" w:rsidP="001514A3">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 </w:t>
      </w:r>
    </w:p>
    <w:p w14:paraId="7FC94943" w14:textId="77777777" w:rsidR="001E0D9B" w:rsidRPr="00915B33" w:rsidRDefault="001E0D9B" w:rsidP="00BC2557">
      <w:pPr>
        <w:pStyle w:val="Grandtitre"/>
        <w:outlineLvl w:val="0"/>
      </w:pPr>
      <w:bookmarkStart w:id="4" w:name="_Toc157935460"/>
      <w:r w:rsidRPr="00F06B8A">
        <w:t>Introduction</w:t>
      </w:r>
      <w:bookmarkEnd w:id="4"/>
    </w:p>
    <w:p w14:paraId="680C9AEE" w14:textId="77777777" w:rsidR="008A52C6" w:rsidRPr="00915B33" w:rsidRDefault="00942372" w:rsidP="00EA3E88">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Ce rapport </w:t>
      </w:r>
      <w:r w:rsidR="001D23C9" w:rsidRPr="00915B33">
        <w:rPr>
          <w:rFonts w:ascii="Times New Roman" w:hAnsi="Times New Roman" w:cs="Times New Roman"/>
          <w:color w:val="000000" w:themeColor="text1"/>
        </w:rPr>
        <w:t xml:space="preserve">biennal </w:t>
      </w:r>
      <w:r w:rsidR="00BE2750" w:rsidRPr="00915B33">
        <w:rPr>
          <w:rFonts w:ascii="Times New Roman" w:hAnsi="Times New Roman" w:cs="Times New Roman"/>
          <w:color w:val="000000" w:themeColor="text1"/>
        </w:rPr>
        <w:t xml:space="preserve">sectoriel </w:t>
      </w:r>
      <w:r w:rsidRPr="00915B33">
        <w:rPr>
          <w:rFonts w:ascii="Times New Roman" w:hAnsi="Times New Roman" w:cs="Times New Roman"/>
          <w:color w:val="000000" w:themeColor="text1"/>
        </w:rPr>
        <w:t>est une mise à jour de</w:t>
      </w:r>
      <w:r w:rsidR="00BE2750" w:rsidRPr="00915B33">
        <w:rPr>
          <w:rFonts w:ascii="Times New Roman" w:hAnsi="Times New Roman" w:cs="Times New Roman"/>
          <w:color w:val="000000" w:themeColor="text1"/>
        </w:rPr>
        <w:t xml:space="preserve"> l’exercice régulier </w:t>
      </w:r>
      <w:r w:rsidRPr="00915B33">
        <w:rPr>
          <w:rFonts w:ascii="Times New Roman" w:hAnsi="Times New Roman" w:cs="Times New Roman"/>
          <w:color w:val="000000" w:themeColor="text1"/>
        </w:rPr>
        <w:t>de l’inventaire</w:t>
      </w:r>
      <w:r w:rsidR="00BE2750" w:rsidRPr="00915B33">
        <w:rPr>
          <w:rFonts w:ascii="Times New Roman" w:hAnsi="Times New Roman" w:cs="Times New Roman"/>
          <w:color w:val="000000" w:themeColor="text1"/>
        </w:rPr>
        <w:t xml:space="preserve"> des gaz à effet de serre (GES). Il est la traduction concrète des engagements de la Mauritanie à la Convention</w:t>
      </w:r>
      <w:r w:rsidR="008A52C6" w:rsidRPr="00915B33">
        <w:rPr>
          <w:rFonts w:ascii="Times New Roman" w:hAnsi="Times New Roman" w:cs="Times New Roman"/>
          <w:color w:val="000000" w:themeColor="text1"/>
        </w:rPr>
        <w:t>-c</w:t>
      </w:r>
      <w:r w:rsidR="00BE2750" w:rsidRPr="00915B33">
        <w:rPr>
          <w:rFonts w:ascii="Times New Roman" w:hAnsi="Times New Roman" w:cs="Times New Roman"/>
          <w:color w:val="000000" w:themeColor="text1"/>
        </w:rPr>
        <w:t xml:space="preserve">adre des Nations </w:t>
      </w:r>
      <w:r w:rsidR="008A52C6" w:rsidRPr="00915B33">
        <w:rPr>
          <w:rFonts w:ascii="Times New Roman" w:hAnsi="Times New Roman" w:cs="Times New Roman"/>
          <w:color w:val="000000" w:themeColor="text1"/>
        </w:rPr>
        <w:t>u</w:t>
      </w:r>
      <w:r w:rsidR="00BE2750" w:rsidRPr="00915B33">
        <w:rPr>
          <w:rFonts w:ascii="Times New Roman" w:hAnsi="Times New Roman" w:cs="Times New Roman"/>
          <w:color w:val="000000" w:themeColor="text1"/>
        </w:rPr>
        <w:t>nies sur le</w:t>
      </w:r>
      <w:r w:rsidR="008A52C6" w:rsidRPr="00915B33">
        <w:rPr>
          <w:rFonts w:ascii="Times New Roman" w:hAnsi="Times New Roman" w:cs="Times New Roman"/>
          <w:color w:val="000000" w:themeColor="text1"/>
        </w:rPr>
        <w:t>s</w:t>
      </w:r>
      <w:r w:rsidR="008674B9" w:rsidRPr="00915B33">
        <w:rPr>
          <w:rFonts w:ascii="Times New Roman" w:hAnsi="Times New Roman" w:cs="Times New Roman"/>
          <w:color w:val="000000" w:themeColor="text1"/>
        </w:rPr>
        <w:t xml:space="preserve"> Changement</w:t>
      </w:r>
      <w:r w:rsidR="008A52C6" w:rsidRPr="00915B33">
        <w:rPr>
          <w:rFonts w:ascii="Times New Roman" w:hAnsi="Times New Roman" w:cs="Times New Roman"/>
          <w:color w:val="000000" w:themeColor="text1"/>
        </w:rPr>
        <w:t>s</w:t>
      </w:r>
      <w:r w:rsidR="008674B9" w:rsidRPr="00915B33">
        <w:rPr>
          <w:rFonts w:ascii="Times New Roman" w:hAnsi="Times New Roman" w:cs="Times New Roman"/>
          <w:color w:val="000000" w:themeColor="text1"/>
        </w:rPr>
        <w:t xml:space="preserve"> c</w:t>
      </w:r>
      <w:r w:rsidR="00BE2750" w:rsidRPr="00915B33">
        <w:rPr>
          <w:rFonts w:ascii="Times New Roman" w:hAnsi="Times New Roman" w:cs="Times New Roman"/>
          <w:color w:val="000000" w:themeColor="text1"/>
        </w:rPr>
        <w:t>limatique</w:t>
      </w:r>
      <w:r w:rsidR="008A52C6" w:rsidRPr="00915B33">
        <w:rPr>
          <w:rFonts w:ascii="Times New Roman" w:hAnsi="Times New Roman" w:cs="Times New Roman"/>
          <w:color w:val="000000" w:themeColor="text1"/>
        </w:rPr>
        <w:t>s</w:t>
      </w:r>
      <w:r w:rsidR="00BE2750" w:rsidRPr="00915B33">
        <w:rPr>
          <w:rFonts w:ascii="Times New Roman" w:hAnsi="Times New Roman" w:cs="Times New Roman"/>
          <w:color w:val="000000" w:themeColor="text1"/>
        </w:rPr>
        <w:t xml:space="preserve"> (CCNUCC).</w:t>
      </w:r>
      <w:r w:rsidR="008A52C6" w:rsidRPr="00915B33">
        <w:rPr>
          <w:rFonts w:ascii="Times New Roman" w:hAnsi="Times New Roman" w:cs="Times New Roman"/>
          <w:color w:val="000000" w:themeColor="text1"/>
        </w:rPr>
        <w:t xml:space="preserve"> En effet, conformément aux articles 4 (1) et 12 (1), les parties non visées par l’annexe 1</w:t>
      </w:r>
      <w:r w:rsidR="0009219C" w:rsidRPr="00915B33">
        <w:rPr>
          <w:rFonts w:ascii="Times New Roman" w:hAnsi="Times New Roman" w:cs="Times New Roman"/>
          <w:color w:val="000000" w:themeColor="text1"/>
        </w:rPr>
        <w:t>, comme la Mauritanie,</w:t>
      </w:r>
      <w:r w:rsidR="008A52C6" w:rsidRPr="00915B33">
        <w:rPr>
          <w:rFonts w:ascii="Times New Roman" w:hAnsi="Times New Roman" w:cs="Times New Roman"/>
          <w:color w:val="000000" w:themeColor="text1"/>
        </w:rPr>
        <w:t xml:space="preserve"> sont invité</w:t>
      </w:r>
      <w:r w:rsidR="0009219C" w:rsidRPr="00915B33">
        <w:rPr>
          <w:rFonts w:ascii="Times New Roman" w:hAnsi="Times New Roman" w:cs="Times New Roman"/>
          <w:color w:val="000000" w:themeColor="text1"/>
        </w:rPr>
        <w:t>e</w:t>
      </w:r>
      <w:r w:rsidR="008A52C6" w:rsidRPr="00915B33">
        <w:rPr>
          <w:rFonts w:ascii="Times New Roman" w:hAnsi="Times New Roman" w:cs="Times New Roman"/>
          <w:color w:val="000000" w:themeColor="text1"/>
        </w:rPr>
        <w:t>s à réaliser périodiquement un inventaire des gaz à effet de serre (IGES)</w:t>
      </w:r>
      <w:r w:rsidR="008A52C6" w:rsidRPr="00915B33">
        <w:rPr>
          <w:rStyle w:val="Appelnotedebasdep"/>
          <w:rFonts w:ascii="Times New Roman" w:hAnsi="Times New Roman" w:cs="Times New Roman"/>
          <w:color w:val="000000" w:themeColor="text1"/>
        </w:rPr>
        <w:footnoteReference w:id="2"/>
      </w:r>
      <w:r w:rsidR="0009219C" w:rsidRPr="00915B33">
        <w:rPr>
          <w:rFonts w:ascii="Times New Roman" w:hAnsi="Times New Roman" w:cs="Times New Roman"/>
          <w:color w:val="000000" w:themeColor="text1"/>
        </w:rPr>
        <w:t xml:space="preserve"> pour marquer leur</w:t>
      </w:r>
      <w:r w:rsidR="008A52C6" w:rsidRPr="00915B33">
        <w:rPr>
          <w:rFonts w:ascii="Times New Roman" w:hAnsi="Times New Roman" w:cs="Times New Roman"/>
          <w:color w:val="000000" w:themeColor="text1"/>
        </w:rPr>
        <w:t xml:space="preserve"> contribution aux efforts de lutte contre le réchauffement climatique.</w:t>
      </w:r>
    </w:p>
    <w:p w14:paraId="46A08596" w14:textId="77777777" w:rsidR="002D28C6" w:rsidRPr="00915B33" w:rsidRDefault="001D23C9" w:rsidP="00EA3E88">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Le </w:t>
      </w:r>
      <w:r w:rsidR="00061D99" w:rsidRPr="00915B33">
        <w:rPr>
          <w:rFonts w:ascii="Times New Roman" w:hAnsi="Times New Roman" w:cs="Times New Roman"/>
          <w:color w:val="000000" w:themeColor="text1"/>
        </w:rPr>
        <w:t xml:space="preserve">BUR </w:t>
      </w:r>
      <w:r w:rsidR="008E2DFA" w:rsidRPr="00915B33">
        <w:rPr>
          <w:rFonts w:ascii="Times New Roman" w:hAnsi="Times New Roman" w:cs="Times New Roman"/>
          <w:color w:val="000000" w:themeColor="text1"/>
        </w:rPr>
        <w:t>passe en revue la cartographie du secteur des procédés industriels et utilisation des produits (PIUP)</w:t>
      </w:r>
      <w:r w:rsidR="00F224C8" w:rsidRPr="00915B33">
        <w:rPr>
          <w:rFonts w:ascii="Times New Roman" w:hAnsi="Times New Roman" w:cs="Times New Roman"/>
          <w:color w:val="000000" w:themeColor="text1"/>
        </w:rPr>
        <w:t xml:space="preserve">. Il </w:t>
      </w:r>
      <w:r w:rsidR="008E2DFA" w:rsidRPr="00915B33">
        <w:rPr>
          <w:rFonts w:ascii="Times New Roman" w:hAnsi="Times New Roman" w:cs="Times New Roman"/>
          <w:color w:val="000000" w:themeColor="text1"/>
        </w:rPr>
        <w:t xml:space="preserve">offre une estimation </w:t>
      </w:r>
      <w:r w:rsidR="00942372" w:rsidRPr="00915B33">
        <w:rPr>
          <w:rFonts w:ascii="Times New Roman" w:hAnsi="Times New Roman" w:cs="Times New Roman"/>
          <w:color w:val="000000" w:themeColor="text1"/>
        </w:rPr>
        <w:t>des émissions de</w:t>
      </w:r>
      <w:r w:rsidR="008E2DFA" w:rsidRPr="00915B33">
        <w:rPr>
          <w:rFonts w:ascii="Times New Roman" w:hAnsi="Times New Roman" w:cs="Times New Roman"/>
          <w:color w:val="000000" w:themeColor="text1"/>
        </w:rPr>
        <w:t>s GES qui interviennent lors des proc</w:t>
      </w:r>
      <w:r w:rsidR="008674B9" w:rsidRPr="00915B33">
        <w:rPr>
          <w:rFonts w:ascii="Times New Roman" w:hAnsi="Times New Roman" w:cs="Times New Roman"/>
          <w:color w:val="000000" w:themeColor="text1"/>
        </w:rPr>
        <w:t xml:space="preserve">essus de </w:t>
      </w:r>
      <w:r w:rsidR="006C06A4" w:rsidRPr="00915B33">
        <w:rPr>
          <w:rFonts w:ascii="Times New Roman" w:hAnsi="Times New Roman" w:cs="Times New Roman"/>
          <w:color w:val="000000" w:themeColor="text1"/>
        </w:rPr>
        <w:t xml:space="preserve">fabrication </w:t>
      </w:r>
      <w:r w:rsidR="00942372" w:rsidRPr="00915B33">
        <w:rPr>
          <w:rFonts w:ascii="Times New Roman" w:hAnsi="Times New Roman" w:cs="Times New Roman"/>
          <w:color w:val="000000" w:themeColor="text1"/>
        </w:rPr>
        <w:t>d</w:t>
      </w:r>
      <w:r w:rsidR="008674B9" w:rsidRPr="00915B33">
        <w:rPr>
          <w:rFonts w:ascii="Times New Roman" w:hAnsi="Times New Roman" w:cs="Times New Roman"/>
          <w:color w:val="000000" w:themeColor="text1"/>
        </w:rPr>
        <w:t>e certain</w:t>
      </w:r>
      <w:r w:rsidR="006C06A4" w:rsidRPr="00915B33">
        <w:rPr>
          <w:rFonts w:ascii="Times New Roman" w:hAnsi="Times New Roman" w:cs="Times New Roman"/>
          <w:color w:val="000000" w:themeColor="text1"/>
        </w:rPr>
        <w:t>s produits</w:t>
      </w:r>
      <w:r w:rsidR="008674B9" w:rsidRPr="00915B33">
        <w:rPr>
          <w:rFonts w:ascii="Times New Roman" w:hAnsi="Times New Roman" w:cs="Times New Roman"/>
          <w:color w:val="000000" w:themeColor="text1"/>
        </w:rPr>
        <w:t>.</w:t>
      </w:r>
    </w:p>
    <w:p w14:paraId="17319F44" w14:textId="77777777" w:rsidR="00942372" w:rsidRPr="00915B33" w:rsidRDefault="002D28C6" w:rsidP="00EA3E88">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La première section du rapport est une présentation des </w:t>
      </w:r>
      <w:r w:rsidR="00942372" w:rsidRPr="00915B33">
        <w:rPr>
          <w:rFonts w:ascii="Times New Roman" w:hAnsi="Times New Roman" w:cs="Times New Roman"/>
          <w:color w:val="000000" w:themeColor="text1"/>
        </w:rPr>
        <w:t>aspects institutionnels</w:t>
      </w:r>
      <w:r w:rsidRPr="00915B33">
        <w:rPr>
          <w:rFonts w:ascii="Times New Roman" w:hAnsi="Times New Roman" w:cs="Times New Roman"/>
          <w:color w:val="000000" w:themeColor="text1"/>
        </w:rPr>
        <w:t xml:space="preserve"> qui encadre la réalisation</w:t>
      </w:r>
      <w:r w:rsidR="00942372" w:rsidRPr="00915B33">
        <w:rPr>
          <w:rFonts w:ascii="Times New Roman" w:hAnsi="Times New Roman" w:cs="Times New Roman"/>
          <w:color w:val="000000" w:themeColor="text1"/>
        </w:rPr>
        <w:t xml:space="preserve"> de l’inventaire</w:t>
      </w:r>
      <w:r w:rsidRPr="00915B33">
        <w:rPr>
          <w:rFonts w:ascii="Times New Roman" w:hAnsi="Times New Roman" w:cs="Times New Roman"/>
          <w:color w:val="000000" w:themeColor="text1"/>
        </w:rPr>
        <w:t xml:space="preserve">. La </w:t>
      </w:r>
      <w:r w:rsidR="00C44574" w:rsidRPr="00915B33">
        <w:rPr>
          <w:rFonts w:ascii="Times New Roman" w:hAnsi="Times New Roman" w:cs="Times New Roman"/>
          <w:color w:val="000000" w:themeColor="text1"/>
        </w:rPr>
        <w:t>seconde</w:t>
      </w:r>
      <w:r w:rsidRPr="00915B33">
        <w:rPr>
          <w:rFonts w:ascii="Times New Roman" w:hAnsi="Times New Roman" w:cs="Times New Roman"/>
          <w:color w:val="000000" w:themeColor="text1"/>
        </w:rPr>
        <w:t xml:space="preserve"> </w:t>
      </w:r>
      <w:proofErr w:type="gramStart"/>
      <w:r w:rsidRPr="00915B33">
        <w:rPr>
          <w:rFonts w:ascii="Times New Roman" w:hAnsi="Times New Roman" w:cs="Times New Roman"/>
          <w:color w:val="000000" w:themeColor="text1"/>
        </w:rPr>
        <w:t>dresse</w:t>
      </w:r>
      <w:proofErr w:type="gramEnd"/>
      <w:r w:rsidRPr="00915B33">
        <w:rPr>
          <w:rFonts w:ascii="Times New Roman" w:hAnsi="Times New Roman" w:cs="Times New Roman"/>
          <w:color w:val="000000" w:themeColor="text1"/>
        </w:rPr>
        <w:t xml:space="preserve"> un portrait de l’industrie mauritanienne. La troisième porte sur </w:t>
      </w:r>
      <w:r w:rsidR="00D80350" w:rsidRPr="00915B33">
        <w:rPr>
          <w:rFonts w:ascii="Times New Roman" w:hAnsi="Times New Roman" w:cs="Times New Roman"/>
          <w:color w:val="000000" w:themeColor="text1"/>
        </w:rPr>
        <w:t>l’analyse</w:t>
      </w:r>
      <w:r w:rsidR="0043643F" w:rsidRPr="00915B33">
        <w:rPr>
          <w:rFonts w:ascii="Times New Roman" w:hAnsi="Times New Roman" w:cs="Times New Roman"/>
          <w:color w:val="000000" w:themeColor="text1"/>
        </w:rPr>
        <w:t xml:space="preserve"> individuelle</w:t>
      </w:r>
      <w:r w:rsidR="00D80350" w:rsidRPr="00915B33">
        <w:rPr>
          <w:rFonts w:ascii="Times New Roman" w:hAnsi="Times New Roman" w:cs="Times New Roman"/>
          <w:color w:val="000000" w:themeColor="text1"/>
        </w:rPr>
        <w:t xml:space="preserve"> des composantes </w:t>
      </w:r>
      <w:r w:rsidR="0043643F" w:rsidRPr="00915B33">
        <w:rPr>
          <w:rFonts w:ascii="Times New Roman" w:hAnsi="Times New Roman" w:cs="Times New Roman"/>
          <w:color w:val="000000" w:themeColor="text1"/>
        </w:rPr>
        <w:t>des PIUP pour déterminer l’</w:t>
      </w:r>
      <w:r w:rsidR="00C44574" w:rsidRPr="00915B33">
        <w:rPr>
          <w:rFonts w:ascii="Times New Roman" w:hAnsi="Times New Roman" w:cs="Times New Roman"/>
          <w:color w:val="000000" w:themeColor="text1"/>
        </w:rPr>
        <w:t>approche</w:t>
      </w:r>
      <w:r w:rsidR="0043643F" w:rsidRPr="00915B33">
        <w:rPr>
          <w:rFonts w:ascii="Times New Roman" w:hAnsi="Times New Roman" w:cs="Times New Roman"/>
          <w:color w:val="000000" w:themeColor="text1"/>
        </w:rPr>
        <w:t xml:space="preserve"> méthodologique qui s’applique à elle en Mauritanie</w:t>
      </w:r>
      <w:r w:rsidR="007F64C6" w:rsidRPr="00915B33">
        <w:rPr>
          <w:rFonts w:ascii="Times New Roman" w:hAnsi="Times New Roman" w:cs="Times New Roman"/>
          <w:color w:val="000000" w:themeColor="text1"/>
        </w:rPr>
        <w:t>,</w:t>
      </w:r>
      <w:r w:rsidR="0043643F" w:rsidRPr="00915B33">
        <w:rPr>
          <w:rFonts w:ascii="Times New Roman" w:hAnsi="Times New Roman" w:cs="Times New Roman"/>
          <w:color w:val="000000" w:themeColor="text1"/>
        </w:rPr>
        <w:t xml:space="preserve"> en rapport avec les données locales et </w:t>
      </w:r>
      <w:r w:rsidR="007F64C6" w:rsidRPr="00915B33">
        <w:rPr>
          <w:rFonts w:ascii="Times New Roman" w:hAnsi="Times New Roman" w:cs="Times New Roman"/>
          <w:color w:val="000000" w:themeColor="text1"/>
        </w:rPr>
        <w:t xml:space="preserve">en conformité </w:t>
      </w:r>
      <w:r w:rsidR="0043643F" w:rsidRPr="00915B33">
        <w:rPr>
          <w:rFonts w:ascii="Times New Roman" w:hAnsi="Times New Roman" w:cs="Times New Roman"/>
          <w:color w:val="000000" w:themeColor="text1"/>
        </w:rPr>
        <w:t>avec les lignes directrices (LD) du GIEC</w:t>
      </w:r>
      <w:r w:rsidR="008A52C6" w:rsidRPr="00915B33">
        <w:rPr>
          <w:rFonts w:ascii="Times New Roman" w:hAnsi="Times New Roman" w:cs="Times New Roman"/>
          <w:color w:val="000000" w:themeColor="text1"/>
        </w:rPr>
        <w:t>. La dernière section est consacrée aux calculs des émissions des sous-secteurs.</w:t>
      </w:r>
    </w:p>
    <w:p w14:paraId="58274546" w14:textId="45D13574" w:rsidR="00F27423" w:rsidRPr="00915B33" w:rsidRDefault="00F27423" w:rsidP="00BC2557">
      <w:pPr>
        <w:pStyle w:val="Grandtitre"/>
        <w:outlineLvl w:val="0"/>
      </w:pPr>
      <w:bookmarkStart w:id="5" w:name="_Toc489388288"/>
      <w:bookmarkStart w:id="6" w:name="_Toc157935461"/>
      <w:r w:rsidRPr="00915B33">
        <w:t xml:space="preserve">Dispositif </w:t>
      </w:r>
      <w:r w:rsidRPr="00F06B8A">
        <w:t>institutionnel</w:t>
      </w:r>
      <w:r w:rsidRPr="00915B33">
        <w:t xml:space="preserve"> de l’IGES</w:t>
      </w:r>
      <w:bookmarkEnd w:id="5"/>
      <w:bookmarkEnd w:id="6"/>
    </w:p>
    <w:p w14:paraId="75997108" w14:textId="77777777" w:rsidR="00F27423" w:rsidRPr="00915B33" w:rsidRDefault="00F27423" w:rsidP="00EA3E88">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w:t>
      </w:r>
      <w:r w:rsidR="00413CC6" w:rsidRPr="00915B33">
        <w:rPr>
          <w:rFonts w:ascii="Times New Roman" w:hAnsi="Times New Roman" w:cs="Times New Roman"/>
          <w:color w:val="000000" w:themeColor="text1"/>
        </w:rPr>
        <w:t xml:space="preserve">a Mauritanie s’est dotée d’un </w:t>
      </w:r>
      <w:r w:rsidR="001A0F73" w:rsidRPr="00915B33">
        <w:rPr>
          <w:rFonts w:ascii="Times New Roman" w:hAnsi="Times New Roman" w:cs="Times New Roman"/>
          <w:color w:val="000000" w:themeColor="text1"/>
        </w:rPr>
        <w:t>dispositif institutionnel qui présid</w:t>
      </w:r>
      <w:r w:rsidR="00413CC6" w:rsidRPr="00915B33">
        <w:rPr>
          <w:rFonts w:ascii="Times New Roman" w:hAnsi="Times New Roman" w:cs="Times New Roman"/>
          <w:color w:val="000000" w:themeColor="text1"/>
        </w:rPr>
        <w:t xml:space="preserve">e </w:t>
      </w:r>
      <w:r w:rsidR="001A0F73" w:rsidRPr="00915B33">
        <w:rPr>
          <w:rFonts w:ascii="Times New Roman" w:hAnsi="Times New Roman" w:cs="Times New Roman"/>
          <w:color w:val="000000" w:themeColor="text1"/>
        </w:rPr>
        <w:t>à l</w:t>
      </w:r>
      <w:r w:rsidR="00413CC6" w:rsidRPr="00915B33">
        <w:rPr>
          <w:rFonts w:ascii="Times New Roman" w:hAnsi="Times New Roman" w:cs="Times New Roman"/>
          <w:color w:val="000000" w:themeColor="text1"/>
        </w:rPr>
        <w:t xml:space="preserve">’élaboration de sa communication nationale et des rapport biennaux de mise </w:t>
      </w:r>
      <w:r w:rsidR="001A0F73" w:rsidRPr="00915B33">
        <w:rPr>
          <w:rFonts w:ascii="Times New Roman" w:hAnsi="Times New Roman" w:cs="Times New Roman"/>
          <w:color w:val="000000" w:themeColor="text1"/>
        </w:rPr>
        <w:t>de mise à jour</w:t>
      </w:r>
      <w:r w:rsidR="00413CC6" w:rsidRPr="00915B33">
        <w:rPr>
          <w:rFonts w:ascii="Times New Roman" w:hAnsi="Times New Roman" w:cs="Times New Roman"/>
          <w:color w:val="000000" w:themeColor="text1"/>
        </w:rPr>
        <w:t xml:space="preserve"> de ses travaux d’inventaire de gaz à effet de serre et des mécanismes d’adaptation et d’atténuation aux changements climatiques</w:t>
      </w:r>
      <w:r w:rsidR="001A0F73" w:rsidRPr="00915B33">
        <w:rPr>
          <w:rFonts w:ascii="Times New Roman" w:hAnsi="Times New Roman" w:cs="Times New Roman"/>
          <w:color w:val="000000" w:themeColor="text1"/>
        </w:rPr>
        <w:t>.</w:t>
      </w:r>
      <w:r w:rsidR="00413CC6" w:rsidRPr="00915B33">
        <w:rPr>
          <w:rFonts w:ascii="Times New Roman" w:hAnsi="Times New Roman" w:cs="Times New Roman"/>
          <w:color w:val="000000" w:themeColor="text1"/>
        </w:rPr>
        <w:t xml:space="preserve"> Ci-après sont présentées les différents paliers de ce dispositif.</w:t>
      </w:r>
    </w:p>
    <w:p w14:paraId="1A92419C" w14:textId="5DF039F1" w:rsidR="00F27423" w:rsidRPr="00F06B8A" w:rsidRDefault="00F27423" w:rsidP="00F06B8A">
      <w:pPr>
        <w:pStyle w:val="Sous-titre"/>
        <w:numPr>
          <w:ilvl w:val="0"/>
          <w:numId w:val="27"/>
        </w:numPr>
        <w:rPr>
          <w:color w:val="000000" w:themeColor="text1"/>
        </w:rPr>
      </w:pPr>
      <w:bookmarkStart w:id="7" w:name="_Toc489388289"/>
      <w:r w:rsidRPr="00F06B8A">
        <w:rPr>
          <w:color w:val="000000" w:themeColor="text1"/>
        </w:rPr>
        <w:t xml:space="preserve">Le </w:t>
      </w:r>
      <w:r w:rsidR="00B74FA1" w:rsidRPr="00F06B8A">
        <w:rPr>
          <w:color w:val="000000" w:themeColor="text1"/>
        </w:rPr>
        <w:t>ministère de l’Environnement</w:t>
      </w:r>
      <w:r w:rsidRPr="00F06B8A">
        <w:rPr>
          <w:color w:val="000000" w:themeColor="text1"/>
        </w:rPr>
        <w:t xml:space="preserve"> et du Développement Durable (MEDD)</w:t>
      </w:r>
      <w:bookmarkEnd w:id="7"/>
    </w:p>
    <w:p w14:paraId="77EBC154" w14:textId="77777777" w:rsidR="00F27423" w:rsidRPr="00915B33" w:rsidRDefault="00F27423" w:rsidP="00EA3E88">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La création en 2013 d’un ministère, à part entière dénommé, </w:t>
      </w:r>
      <w:r w:rsidR="00B74FA1" w:rsidRPr="00915B33">
        <w:rPr>
          <w:rFonts w:ascii="Times New Roman" w:hAnsi="Times New Roman" w:cs="Times New Roman"/>
          <w:color w:val="000000" w:themeColor="text1"/>
        </w:rPr>
        <w:t>ministère de l’Environnement</w:t>
      </w:r>
      <w:r w:rsidRPr="00915B33">
        <w:rPr>
          <w:rFonts w:ascii="Times New Roman" w:hAnsi="Times New Roman" w:cs="Times New Roman"/>
          <w:color w:val="000000" w:themeColor="text1"/>
        </w:rPr>
        <w:t xml:space="preserve"> et du Développement Durable</w:t>
      </w:r>
      <w:r w:rsidRPr="00915B33">
        <w:rPr>
          <w:rStyle w:val="Appelnotedebasdep"/>
          <w:rFonts w:ascii="Times New Roman" w:hAnsi="Times New Roman" w:cs="Times New Roman"/>
          <w:color w:val="000000" w:themeColor="text1"/>
        </w:rPr>
        <w:footnoteReference w:id="3"/>
      </w:r>
      <w:r w:rsidRPr="00915B33">
        <w:rPr>
          <w:rFonts w:ascii="Times New Roman" w:hAnsi="Times New Roman" w:cs="Times New Roman"/>
          <w:color w:val="000000" w:themeColor="text1"/>
        </w:rPr>
        <w:t xml:space="preserve"> (MEDD) est la principale nouveauté enregistrée dans l’évolution du cadre institutionnel depuis la dernière communication.</w:t>
      </w:r>
    </w:p>
    <w:p w14:paraId="2A64B48B" w14:textId="77777777" w:rsidR="00F27423" w:rsidRPr="00915B33" w:rsidRDefault="00F27423" w:rsidP="00EA3E88">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Ce département ministériel est la tutelle chargée de la mise en œuvre des engagements du pays relatifs aux résolutions de la Convention Cadre des Nations Unies sur le Changement Climatique</w:t>
      </w:r>
      <w:r w:rsidR="008A6FDF" w:rsidRPr="00915B33">
        <w:rPr>
          <w:rFonts w:ascii="Times New Roman" w:hAnsi="Times New Roman" w:cs="Times New Roman"/>
          <w:color w:val="000000" w:themeColor="text1"/>
        </w:rPr>
        <w:t xml:space="preserve"> (CCNUCC)</w:t>
      </w:r>
      <w:r w:rsidRPr="00915B33">
        <w:rPr>
          <w:rFonts w:ascii="Times New Roman" w:hAnsi="Times New Roman" w:cs="Times New Roman"/>
          <w:color w:val="000000" w:themeColor="text1"/>
        </w:rPr>
        <w:t>, qui comprend</w:t>
      </w:r>
      <w:r w:rsidR="008A6FDF" w:rsidRPr="00915B33">
        <w:rPr>
          <w:rFonts w:ascii="Times New Roman" w:hAnsi="Times New Roman" w:cs="Times New Roman"/>
          <w:color w:val="000000" w:themeColor="text1"/>
        </w:rPr>
        <w:t>,</w:t>
      </w:r>
      <w:r w:rsidRPr="00915B33">
        <w:rPr>
          <w:rFonts w:ascii="Times New Roman" w:hAnsi="Times New Roman" w:cs="Times New Roman"/>
          <w:color w:val="000000" w:themeColor="text1"/>
        </w:rPr>
        <w:t xml:space="preserve"> notamment</w:t>
      </w:r>
      <w:r w:rsidR="008A6FDF" w:rsidRPr="00915B33">
        <w:rPr>
          <w:rFonts w:ascii="Times New Roman" w:hAnsi="Times New Roman" w:cs="Times New Roman"/>
          <w:color w:val="000000" w:themeColor="text1"/>
        </w:rPr>
        <w:t>,</w:t>
      </w:r>
      <w:r w:rsidRPr="00915B33">
        <w:rPr>
          <w:rFonts w:ascii="Times New Roman" w:hAnsi="Times New Roman" w:cs="Times New Roman"/>
          <w:color w:val="000000" w:themeColor="text1"/>
        </w:rPr>
        <w:t xml:space="preserve"> la préparation de la 4</w:t>
      </w:r>
      <w:r w:rsidRPr="00915B33">
        <w:rPr>
          <w:rFonts w:ascii="Times New Roman" w:hAnsi="Times New Roman" w:cs="Times New Roman"/>
          <w:color w:val="000000" w:themeColor="text1"/>
          <w:vertAlign w:val="superscript"/>
        </w:rPr>
        <w:t>ème</w:t>
      </w:r>
      <w:r w:rsidRPr="00915B33">
        <w:rPr>
          <w:rFonts w:ascii="Times New Roman" w:hAnsi="Times New Roman" w:cs="Times New Roman"/>
          <w:color w:val="000000" w:themeColor="text1"/>
        </w:rPr>
        <w:t xml:space="preserve"> Communication Nationale. Au sein du MEDD, cette tâche est confiée à la Cellule de Coordination du Programme National sur le Changement Climatique (CCPNCC). </w:t>
      </w:r>
    </w:p>
    <w:p w14:paraId="746F0A3D" w14:textId="726C4397" w:rsidR="00F27423" w:rsidRPr="00915B33" w:rsidRDefault="00F27423" w:rsidP="00BC2557">
      <w:pPr>
        <w:pStyle w:val="Sous-titre"/>
        <w:numPr>
          <w:ilvl w:val="0"/>
          <w:numId w:val="27"/>
        </w:numPr>
        <w:outlineLvl w:val="1"/>
      </w:pPr>
      <w:bookmarkStart w:id="8" w:name="_Toc489388290"/>
      <w:bookmarkStart w:id="9" w:name="_Toc157935462"/>
      <w:r w:rsidRPr="00915B33">
        <w:t>La Cellule de Coordination du Programme National sur le Changement Climatique</w:t>
      </w:r>
      <w:bookmarkEnd w:id="8"/>
      <w:bookmarkEnd w:id="9"/>
    </w:p>
    <w:p w14:paraId="62E8CCE1" w14:textId="6838265B" w:rsidR="00F27423" w:rsidRPr="00915B33" w:rsidRDefault="00F27423" w:rsidP="00EA3E88">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La Cellule de Coordination du Programme National sur le Changement Climatique (CCPNCC) est responsable de la maîtrise d’ouvrage de la réalisation des inventaires de GES et la coordination des différentes activités y afférant. Elle est dirigée par un chargé de mission, conseiller du ministre, désigné point focal </w:t>
      </w:r>
      <w:r w:rsidR="00A146E2" w:rsidRPr="00915B33">
        <w:rPr>
          <w:rFonts w:ascii="Times New Roman" w:hAnsi="Times New Roman" w:cs="Times New Roman"/>
          <w:color w:val="000000" w:themeColor="text1"/>
        </w:rPr>
        <w:t xml:space="preserve">(PF) </w:t>
      </w:r>
      <w:r w:rsidRPr="00915B33">
        <w:rPr>
          <w:rFonts w:ascii="Times New Roman" w:hAnsi="Times New Roman" w:cs="Times New Roman"/>
          <w:color w:val="000000" w:themeColor="text1"/>
        </w:rPr>
        <w:t xml:space="preserve">national. Ce PF est le principal interlocuteur pour toutes les questions relatives au Changement Climatique. Il assure, notamment, la coordination des activités des structures impliquées dans la préparation de </w:t>
      </w:r>
      <w:r w:rsidR="00281204" w:rsidRPr="00915B33">
        <w:rPr>
          <w:rFonts w:ascii="Times New Roman" w:hAnsi="Times New Roman" w:cs="Times New Roman"/>
          <w:color w:val="000000" w:themeColor="text1"/>
        </w:rPr>
        <w:t xml:space="preserve">la </w:t>
      </w:r>
      <w:r w:rsidR="00371814" w:rsidRPr="00915B33">
        <w:rPr>
          <w:rFonts w:ascii="Times New Roman" w:hAnsi="Times New Roman" w:cs="Times New Roman"/>
          <w:color w:val="000000" w:themeColor="text1"/>
        </w:rPr>
        <w:t>Communication nationale</w:t>
      </w:r>
      <w:r w:rsidRPr="00915B33">
        <w:rPr>
          <w:rFonts w:ascii="Times New Roman" w:hAnsi="Times New Roman" w:cs="Times New Roman"/>
          <w:color w:val="000000" w:themeColor="text1"/>
        </w:rPr>
        <w:t>.</w:t>
      </w:r>
    </w:p>
    <w:p w14:paraId="1808C45C" w14:textId="63DC25E9" w:rsidR="00F27423" w:rsidRPr="00915B33" w:rsidRDefault="00F27423" w:rsidP="00BC2557">
      <w:pPr>
        <w:pStyle w:val="Sous-titre"/>
        <w:numPr>
          <w:ilvl w:val="0"/>
          <w:numId w:val="27"/>
        </w:numPr>
        <w:outlineLvl w:val="1"/>
      </w:pPr>
      <w:bookmarkStart w:id="10" w:name="_Toc489388291"/>
      <w:bookmarkStart w:id="11" w:name="_Toc157935463"/>
      <w:r w:rsidRPr="00915B33">
        <w:t>Le Groupe de Travail Sectoriel (GTS)</w:t>
      </w:r>
      <w:bookmarkEnd w:id="10"/>
      <w:bookmarkEnd w:id="11"/>
    </w:p>
    <w:p w14:paraId="2361B120" w14:textId="301B1444" w:rsidR="00F27423" w:rsidRPr="00915B33" w:rsidRDefault="00F27423" w:rsidP="00EA3E88">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Un GTS a été institué au niveau de chacun des départements ministériels concernés par la problématique des changements climatiques. L’instauration de cette structure est aussi l’une des principales innovations du dispositif institutionnel initié dans le cadre de la préparation de la 4</w:t>
      </w:r>
      <w:r w:rsidRPr="00915B33">
        <w:rPr>
          <w:rFonts w:ascii="Times New Roman" w:hAnsi="Times New Roman" w:cs="Times New Roman"/>
          <w:color w:val="000000" w:themeColor="text1"/>
          <w:vertAlign w:val="superscript"/>
        </w:rPr>
        <w:t>ème</w:t>
      </w:r>
      <w:r w:rsidRPr="00915B33">
        <w:rPr>
          <w:rFonts w:ascii="Times New Roman" w:hAnsi="Times New Roman" w:cs="Times New Roman"/>
          <w:color w:val="000000" w:themeColor="text1"/>
        </w:rPr>
        <w:t xml:space="preserve"> Communication Nationale. Chaque GTS est animé par un point focal sectoriel (PFS). Le GTS est </w:t>
      </w:r>
      <w:r w:rsidRPr="00915B33">
        <w:rPr>
          <w:rFonts w:ascii="Times New Roman" w:hAnsi="Times New Roman" w:cs="Times New Roman"/>
          <w:i/>
          <w:color w:val="000000" w:themeColor="text1"/>
        </w:rPr>
        <w:t xml:space="preserve">en charge de la préparation de tous les rapports thématiques sous la conduite des PFS de chaque département ou organisme avec l’appui de l’expert mis à la disposition de ce </w:t>
      </w:r>
      <w:r w:rsidR="002104C3" w:rsidRPr="00915B33">
        <w:rPr>
          <w:rFonts w:ascii="Times New Roman" w:hAnsi="Times New Roman" w:cs="Times New Roman"/>
          <w:i/>
          <w:color w:val="000000" w:themeColor="text1"/>
        </w:rPr>
        <w:t>dernier</w:t>
      </w:r>
      <w:r w:rsidRPr="00915B33">
        <w:rPr>
          <w:rFonts w:ascii="Times New Roman" w:hAnsi="Times New Roman" w:cs="Times New Roman"/>
          <w:i/>
          <w:color w:val="000000" w:themeColor="text1"/>
        </w:rPr>
        <w:t xml:space="preserve"> par la CCPNCC</w:t>
      </w:r>
      <w:r w:rsidRPr="00915B33">
        <w:rPr>
          <w:rFonts w:ascii="Times New Roman" w:hAnsi="Times New Roman" w:cs="Times New Roman"/>
          <w:color w:val="000000" w:themeColor="text1"/>
        </w:rPr>
        <w:t>.</w:t>
      </w:r>
    </w:p>
    <w:p w14:paraId="75D4D8D6" w14:textId="77777777" w:rsidR="00F27423" w:rsidRPr="00915B33" w:rsidRDefault="00F27423" w:rsidP="00EA3E88">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Ci-après le processus suivi par le département du MCIT pour l’élaboration de son IGES aidé en cela par l’expert en charge du dossier.</w:t>
      </w:r>
    </w:p>
    <w:p w14:paraId="018F7D23" w14:textId="77777777" w:rsidR="00F27423" w:rsidRPr="00915B33" w:rsidRDefault="00CA188C" w:rsidP="00BB202B">
      <w:pPr>
        <w:jc w:val="center"/>
        <w:rPr>
          <w:rFonts w:ascii="Times New Roman" w:hAnsi="Times New Roman" w:cs="Times New Roman"/>
          <w:b/>
          <w:color w:val="000000" w:themeColor="text1"/>
        </w:rPr>
      </w:pPr>
      <w:r w:rsidRPr="00915B33">
        <w:rPr>
          <w:rFonts w:ascii="Times New Roman" w:hAnsi="Times New Roman" w:cs="Times New Roman"/>
          <w:noProof/>
          <w:color w:val="000000" w:themeColor="text1"/>
          <w:lang w:val="fr-CA" w:eastAsia="fr-CA"/>
        </w:rPr>
        <w:drawing>
          <wp:inline distT="0" distB="0" distL="0" distR="0" wp14:anchorId="10931069" wp14:editId="0B36504E">
            <wp:extent cx="5969000" cy="3403600"/>
            <wp:effectExtent l="19050" t="0" r="0" b="9588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969000" cy="3403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8C050B3" w14:textId="77777777" w:rsidR="00F27423" w:rsidRPr="00915B33" w:rsidRDefault="00F27423">
      <w:pPr>
        <w:jc w:val="center"/>
        <w:rPr>
          <w:rFonts w:ascii="Times New Roman" w:hAnsi="Times New Roman" w:cs="Times New Roman"/>
          <w:color w:val="000000" w:themeColor="text1"/>
        </w:rPr>
      </w:pPr>
      <w:r w:rsidRPr="00915B33">
        <w:rPr>
          <w:rFonts w:ascii="Times New Roman" w:hAnsi="Times New Roman" w:cs="Times New Roman"/>
          <w:b/>
          <w:color w:val="000000" w:themeColor="text1"/>
        </w:rPr>
        <w:t>Graphique 1</w:t>
      </w:r>
      <w:r w:rsidRPr="00915B33">
        <w:rPr>
          <w:rFonts w:ascii="Times New Roman" w:hAnsi="Times New Roman" w:cs="Times New Roman"/>
          <w:color w:val="000000" w:themeColor="text1"/>
        </w:rPr>
        <w:t> : processus de l’inventaire</w:t>
      </w:r>
      <w:r w:rsidR="00CC5C4F" w:rsidRPr="00915B33">
        <w:rPr>
          <w:rFonts w:ascii="Times New Roman" w:hAnsi="Times New Roman" w:cs="Times New Roman"/>
          <w:color w:val="000000" w:themeColor="text1"/>
        </w:rPr>
        <w:t xml:space="preserve"> du secteur des PIUP</w:t>
      </w:r>
    </w:p>
    <w:p w14:paraId="04E4CA95" w14:textId="77777777" w:rsidR="00F27423" w:rsidRPr="00915B33" w:rsidRDefault="00F27423">
      <w:pPr>
        <w:jc w:val="both"/>
        <w:rPr>
          <w:rFonts w:ascii="Times New Roman" w:hAnsi="Times New Roman" w:cs="Times New Roman"/>
          <w:color w:val="000000" w:themeColor="text1"/>
        </w:rPr>
      </w:pPr>
    </w:p>
    <w:p w14:paraId="583C7631" w14:textId="77777777" w:rsidR="00F27423" w:rsidRPr="00915B33" w:rsidRDefault="00F27423" w:rsidP="00EA3E88">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Le GTS du MCIT est présidé par le Directeur des Études et de la Coopération, point focal désigné. La note de service portant création du GTS du MCIT est jointe à l’Annexe du présent rapport. Il est composé des représentants des directions suivantes :</w:t>
      </w:r>
    </w:p>
    <w:p w14:paraId="228F1B41" w14:textId="77777777" w:rsidR="00F27423" w:rsidRPr="00915B33" w:rsidRDefault="00F27423" w:rsidP="00EA3E88">
      <w:pPr>
        <w:pStyle w:val="Paragraphedeliste1"/>
        <w:numPr>
          <w:ilvl w:val="0"/>
          <w:numId w:val="6"/>
        </w:num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Direction des Etudes, de la Programmation et de la Coopération (DEPC)</w:t>
      </w:r>
    </w:p>
    <w:p w14:paraId="67156434" w14:textId="77777777" w:rsidR="00F27423" w:rsidRPr="00915B33" w:rsidRDefault="00F27423" w:rsidP="00EA3E88">
      <w:pPr>
        <w:pStyle w:val="Paragraphedeliste1"/>
        <w:numPr>
          <w:ilvl w:val="0"/>
          <w:numId w:val="6"/>
        </w:num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Direction de la Normalisation et de la Promotion de la Qualité (DNPQ)</w:t>
      </w:r>
    </w:p>
    <w:p w14:paraId="3AB205B1" w14:textId="77777777" w:rsidR="00F27423" w:rsidRPr="00915B33" w:rsidRDefault="00F27423" w:rsidP="00EA3E88">
      <w:pPr>
        <w:pStyle w:val="Paragraphedeliste1"/>
        <w:numPr>
          <w:ilvl w:val="0"/>
          <w:numId w:val="6"/>
        </w:num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Direction du Développement Industriel (DDI</w:t>
      </w:r>
    </w:p>
    <w:p w14:paraId="5A91393B" w14:textId="77777777" w:rsidR="00F27423" w:rsidRPr="00915B33" w:rsidRDefault="00F27423" w:rsidP="00EA3E88">
      <w:pPr>
        <w:pStyle w:val="Paragraphedeliste1"/>
        <w:numPr>
          <w:ilvl w:val="0"/>
          <w:numId w:val="6"/>
        </w:num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Direction du Tourisme</w:t>
      </w:r>
    </w:p>
    <w:p w14:paraId="104D75C9" w14:textId="77777777" w:rsidR="00F27423" w:rsidRPr="00915B33" w:rsidRDefault="00F27423" w:rsidP="00EA3E88">
      <w:pPr>
        <w:pStyle w:val="Paragraphedeliste1"/>
        <w:numPr>
          <w:ilvl w:val="0"/>
          <w:numId w:val="6"/>
        </w:num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Fédération du Tourisme</w:t>
      </w:r>
    </w:p>
    <w:p w14:paraId="06AC6256" w14:textId="77777777" w:rsidR="00F27423" w:rsidRPr="00915B33" w:rsidRDefault="00F27423" w:rsidP="00EA3E88">
      <w:pPr>
        <w:pStyle w:val="Paragraphedeliste1"/>
        <w:numPr>
          <w:ilvl w:val="0"/>
          <w:numId w:val="6"/>
        </w:numPr>
        <w:spacing w:line="360" w:lineRule="auto"/>
        <w:jc w:val="both"/>
        <w:rPr>
          <w:rFonts w:ascii="Times New Roman" w:eastAsia="Times New Roman" w:hAnsi="Times New Roman" w:cs="Times New Roman"/>
          <w:color w:val="000000" w:themeColor="text1"/>
        </w:rPr>
      </w:pPr>
      <w:r w:rsidRPr="00915B33">
        <w:rPr>
          <w:rFonts w:ascii="Times New Roman" w:hAnsi="Times New Roman" w:cs="Times New Roman"/>
          <w:color w:val="000000" w:themeColor="text1"/>
        </w:rPr>
        <w:t>Fédération des Industries et des Mines</w:t>
      </w:r>
    </w:p>
    <w:p w14:paraId="1E452734" w14:textId="42BB0413" w:rsidR="00F27423" w:rsidRPr="00915B33" w:rsidRDefault="00F27423" w:rsidP="00BC2557">
      <w:pPr>
        <w:pStyle w:val="Sous-titre"/>
        <w:numPr>
          <w:ilvl w:val="0"/>
          <w:numId w:val="27"/>
        </w:numPr>
        <w:outlineLvl w:val="1"/>
      </w:pPr>
      <w:bookmarkStart w:id="12" w:name="_Toc489388292"/>
      <w:bookmarkStart w:id="13" w:name="_Toc157935464"/>
      <w:r w:rsidRPr="00915B33">
        <w:t>L’équipe des experts nationaux</w:t>
      </w:r>
      <w:bookmarkEnd w:id="12"/>
      <w:bookmarkEnd w:id="13"/>
    </w:p>
    <w:p w14:paraId="5DFDC4F0" w14:textId="77777777" w:rsidR="00F27423" w:rsidRPr="00915B33" w:rsidRDefault="00F27423" w:rsidP="00EA3E88">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Une équipe d’experts nationaux animée par un team leader est constituée au sein de la CCPNCC. Concernant le volet inventaire des gaz à effet de serre de la CN4, chaque expert est mandaté pour faciliter le travail à chacun des secteurs ou sous-secteurs de l’une des thématiq</w:t>
      </w:r>
      <w:r w:rsidR="00A146E2" w:rsidRPr="00915B33">
        <w:rPr>
          <w:rFonts w:ascii="Times New Roman" w:hAnsi="Times New Roman" w:cs="Times New Roman"/>
          <w:color w:val="000000" w:themeColor="text1"/>
        </w:rPr>
        <w:t>ues suivantes : énergie, PIUP, a</w:t>
      </w:r>
      <w:r w:rsidRPr="00915B33">
        <w:rPr>
          <w:rFonts w:ascii="Times New Roman" w:hAnsi="Times New Roman" w:cs="Times New Roman"/>
          <w:color w:val="000000" w:themeColor="text1"/>
        </w:rPr>
        <w:t xml:space="preserve">griculture et déchets. </w:t>
      </w:r>
    </w:p>
    <w:p w14:paraId="6B791D3A" w14:textId="77777777" w:rsidR="00F27423" w:rsidRPr="00915B33" w:rsidRDefault="00F27423" w:rsidP="00EA3E88">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L’inventaire des GES du secteur des PIUP est réalisé par le GTS du MCIT avec la facilitation de l’expert en charge du dossier. À cet effet, plusieurs réunions ont été tenues avec ses membres.</w:t>
      </w:r>
    </w:p>
    <w:p w14:paraId="20632572" w14:textId="571A5262" w:rsidR="00F27423" w:rsidRPr="00915B33" w:rsidRDefault="00F27423" w:rsidP="00BC2557">
      <w:pPr>
        <w:pStyle w:val="Grandtitre"/>
        <w:outlineLvl w:val="0"/>
      </w:pPr>
      <w:bookmarkStart w:id="14" w:name="_Toc489388293"/>
      <w:bookmarkStart w:id="15" w:name="_Toc157935465"/>
      <w:r w:rsidRPr="00915B33">
        <w:t xml:space="preserve">La collecte </w:t>
      </w:r>
      <w:r w:rsidRPr="00F06B8A">
        <w:t>des</w:t>
      </w:r>
      <w:r w:rsidRPr="00915B33">
        <w:t xml:space="preserve"> données</w:t>
      </w:r>
      <w:bookmarkEnd w:id="14"/>
      <w:bookmarkEnd w:id="15"/>
    </w:p>
    <w:p w14:paraId="16A04522" w14:textId="77777777" w:rsidR="00F27423" w:rsidRPr="00915B33" w:rsidRDefault="00F27423" w:rsidP="00EA3E88">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L’inventaire a été mené conformément au dispositif institutionnel et aux directives de bonnes pratiques édictées par le GIEC. </w:t>
      </w:r>
    </w:p>
    <w:p w14:paraId="1D88DE1A" w14:textId="6F07E26E" w:rsidR="00F27423" w:rsidRPr="00915B33" w:rsidRDefault="00F27423" w:rsidP="00BC2557">
      <w:pPr>
        <w:pStyle w:val="Sous-titre"/>
        <w:numPr>
          <w:ilvl w:val="0"/>
          <w:numId w:val="27"/>
        </w:numPr>
        <w:outlineLvl w:val="1"/>
      </w:pPr>
      <w:bookmarkStart w:id="16" w:name="_Toc489388294"/>
      <w:bookmarkStart w:id="17" w:name="_Toc157935466"/>
      <w:r w:rsidRPr="00915B33">
        <w:t>Les sources de données</w:t>
      </w:r>
      <w:bookmarkEnd w:id="16"/>
      <w:bookmarkEnd w:id="17"/>
    </w:p>
    <w:p w14:paraId="26BD607E" w14:textId="77777777" w:rsidR="00F27423" w:rsidRPr="00915B33" w:rsidRDefault="00F27423" w:rsidP="00EA3E88">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Les données </w:t>
      </w:r>
      <w:r w:rsidR="00693355" w:rsidRPr="00915B33">
        <w:rPr>
          <w:rFonts w:ascii="Times New Roman" w:hAnsi="Times New Roman" w:cs="Times New Roman"/>
          <w:color w:val="000000" w:themeColor="text1"/>
        </w:rPr>
        <w:t>s</w:t>
      </w:r>
      <w:r w:rsidRPr="00915B33">
        <w:rPr>
          <w:rFonts w:ascii="Times New Roman" w:hAnsi="Times New Roman" w:cs="Times New Roman"/>
          <w:color w:val="000000" w:themeColor="text1"/>
        </w:rPr>
        <w:t xml:space="preserve">ont collectées auprès de différentes structures des secteurs public et privé détentrices des informations qualitatives et quantitatives se rapportant aux émissions de GES du Secteur des PUIP. </w:t>
      </w:r>
    </w:p>
    <w:p w14:paraId="4A2B7B78" w14:textId="5B0559F8" w:rsidR="00F27423" w:rsidRPr="00915B33" w:rsidRDefault="00191589" w:rsidP="00EA3E88">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Dès que le mandat a été octroyé, des contacts ont été établis avec les entreprises et les services cibles. </w:t>
      </w:r>
      <w:r w:rsidR="006A3F72" w:rsidRPr="00915B33">
        <w:rPr>
          <w:rFonts w:ascii="Times New Roman" w:hAnsi="Times New Roman" w:cs="Times New Roman"/>
          <w:color w:val="000000" w:themeColor="text1"/>
        </w:rPr>
        <w:t xml:space="preserve">Des échanges par courriel leur ont été envoyées. L’objectif et la portée de la collecte des données sont expliqués au destinataire. Le message est </w:t>
      </w:r>
      <w:r w:rsidR="00681DC7" w:rsidRPr="00915B33">
        <w:rPr>
          <w:rFonts w:ascii="Times New Roman" w:hAnsi="Times New Roman" w:cs="Times New Roman"/>
          <w:color w:val="000000" w:themeColor="text1"/>
        </w:rPr>
        <w:t xml:space="preserve">accompagné </w:t>
      </w:r>
      <w:r w:rsidR="006A3F72" w:rsidRPr="00915B33">
        <w:rPr>
          <w:rFonts w:ascii="Times New Roman" w:hAnsi="Times New Roman" w:cs="Times New Roman"/>
          <w:color w:val="000000" w:themeColor="text1"/>
        </w:rPr>
        <w:t xml:space="preserve">d’un questionnaire lorsque nécessaire </w:t>
      </w:r>
      <w:r w:rsidR="00681DC7" w:rsidRPr="00915B33">
        <w:rPr>
          <w:rFonts w:ascii="Times New Roman" w:hAnsi="Times New Roman" w:cs="Times New Roman"/>
          <w:color w:val="000000" w:themeColor="text1"/>
        </w:rPr>
        <w:t xml:space="preserve">(Voir annexe). </w:t>
      </w:r>
      <w:r w:rsidR="009E1E47" w:rsidRPr="00915B33">
        <w:rPr>
          <w:rFonts w:ascii="Times New Roman" w:hAnsi="Times New Roman" w:cs="Times New Roman"/>
          <w:color w:val="000000" w:themeColor="text1"/>
        </w:rPr>
        <w:t xml:space="preserve">Les sites internet des entreprises, lorsqu’elles en disposent, sont visités. Des recherches effectuées sur l’internet ont permis de recueillir des informations </w:t>
      </w:r>
      <w:r w:rsidR="00624F58" w:rsidRPr="00915B33">
        <w:rPr>
          <w:rFonts w:ascii="Times New Roman" w:hAnsi="Times New Roman" w:cs="Times New Roman"/>
          <w:color w:val="000000" w:themeColor="text1"/>
        </w:rPr>
        <w:t>précieuses</w:t>
      </w:r>
      <w:r w:rsidR="009E1E47" w:rsidRPr="00915B33">
        <w:rPr>
          <w:rFonts w:ascii="Times New Roman" w:hAnsi="Times New Roman" w:cs="Times New Roman"/>
          <w:color w:val="000000" w:themeColor="text1"/>
        </w:rPr>
        <w:t>.</w:t>
      </w:r>
    </w:p>
    <w:p w14:paraId="012C7F31" w14:textId="1984A716" w:rsidR="00F27423" w:rsidRPr="00915B33" w:rsidRDefault="002F6148" w:rsidP="00BC2557">
      <w:pPr>
        <w:pStyle w:val="Sous-titre"/>
        <w:numPr>
          <w:ilvl w:val="0"/>
          <w:numId w:val="27"/>
        </w:numPr>
        <w:outlineLvl w:val="1"/>
      </w:pPr>
      <w:bookmarkStart w:id="18" w:name="_Toc489388295"/>
      <w:bookmarkStart w:id="19" w:name="_Toc157935467"/>
      <w:r w:rsidRPr="00915B33">
        <w:t xml:space="preserve">Portrait </w:t>
      </w:r>
      <w:r w:rsidR="00F27423" w:rsidRPr="00915B33">
        <w:t>du secteur industriel mauritanien</w:t>
      </w:r>
      <w:bookmarkEnd w:id="18"/>
      <w:bookmarkEnd w:id="19"/>
    </w:p>
    <w:p w14:paraId="2318310D" w14:textId="7C6164D4" w:rsidR="00461403" w:rsidRPr="00915B33" w:rsidRDefault="00461403" w:rsidP="005D1BB6">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Le secteur industriel mauritanien a été marqué par des progrès </w:t>
      </w:r>
      <w:r w:rsidR="00624F58" w:rsidRPr="00915B33">
        <w:rPr>
          <w:rFonts w:ascii="Times New Roman" w:hAnsi="Times New Roman" w:cs="Times New Roman"/>
          <w:color w:val="000000" w:themeColor="text1"/>
        </w:rPr>
        <w:t>substantiels</w:t>
      </w:r>
      <w:r w:rsidRPr="00915B33">
        <w:rPr>
          <w:rFonts w:ascii="Times New Roman" w:hAnsi="Times New Roman" w:cs="Times New Roman"/>
          <w:color w:val="000000" w:themeColor="text1"/>
        </w:rPr>
        <w:t xml:space="preserve"> au cours des </w:t>
      </w:r>
      <w:r w:rsidR="001E2631" w:rsidRPr="00915B33">
        <w:rPr>
          <w:rFonts w:ascii="Times New Roman" w:hAnsi="Times New Roman" w:cs="Times New Roman"/>
          <w:color w:val="000000" w:themeColor="text1"/>
        </w:rPr>
        <w:t>trois</w:t>
      </w:r>
      <w:r w:rsidRPr="00915B33">
        <w:rPr>
          <w:rFonts w:ascii="Times New Roman" w:hAnsi="Times New Roman" w:cs="Times New Roman"/>
          <w:color w:val="000000" w:themeColor="text1"/>
        </w:rPr>
        <w:t xml:space="preserve"> dernières décennies. En effet, un regain de dynamisme du secteur des industries minières extractives</w:t>
      </w:r>
      <w:r w:rsidR="001E2631" w:rsidRPr="00915B33">
        <w:rPr>
          <w:rFonts w:ascii="Times New Roman" w:hAnsi="Times New Roman" w:cs="Times New Roman"/>
          <w:color w:val="000000" w:themeColor="text1"/>
        </w:rPr>
        <w:t xml:space="preserve"> portant sur le fer, l’or, le cuivre et le gype)</w:t>
      </w:r>
      <w:r w:rsidR="008D6791" w:rsidRPr="00915B33">
        <w:rPr>
          <w:rFonts w:ascii="Times New Roman" w:hAnsi="Times New Roman" w:cs="Times New Roman"/>
          <w:color w:val="000000" w:themeColor="text1"/>
        </w:rPr>
        <w:t>, qui apporte une part non négligeable au PIB (30%)</w:t>
      </w:r>
      <w:r w:rsidR="001E2631" w:rsidRPr="00915B33">
        <w:rPr>
          <w:rFonts w:ascii="Times New Roman" w:hAnsi="Times New Roman" w:cs="Times New Roman"/>
          <w:color w:val="000000" w:themeColor="text1"/>
        </w:rPr>
        <w:t xml:space="preserve">. </w:t>
      </w:r>
      <w:r w:rsidR="00624F58" w:rsidRPr="00915B33">
        <w:rPr>
          <w:rFonts w:ascii="Times New Roman" w:hAnsi="Times New Roman" w:cs="Times New Roman"/>
          <w:color w:val="000000" w:themeColor="text1"/>
        </w:rPr>
        <w:t>Celte</w:t>
      </w:r>
      <w:r w:rsidR="001E2631" w:rsidRPr="00915B33">
        <w:rPr>
          <w:rFonts w:ascii="Times New Roman" w:hAnsi="Times New Roman" w:cs="Times New Roman"/>
          <w:color w:val="000000" w:themeColor="text1"/>
        </w:rPr>
        <w:t xml:space="preserve"> avancée </w:t>
      </w:r>
      <w:r w:rsidRPr="00915B33">
        <w:rPr>
          <w:rFonts w:ascii="Times New Roman" w:hAnsi="Times New Roman" w:cs="Times New Roman"/>
          <w:color w:val="000000" w:themeColor="text1"/>
        </w:rPr>
        <w:t>a été constaté</w:t>
      </w:r>
      <w:r w:rsidR="001E2631" w:rsidRPr="00915B33">
        <w:rPr>
          <w:rFonts w:ascii="Times New Roman" w:hAnsi="Times New Roman" w:cs="Times New Roman"/>
          <w:color w:val="000000" w:themeColor="text1"/>
        </w:rPr>
        <w:t>e</w:t>
      </w:r>
      <w:r w:rsidRPr="00915B33">
        <w:rPr>
          <w:rFonts w:ascii="Times New Roman" w:hAnsi="Times New Roman" w:cs="Times New Roman"/>
          <w:color w:val="000000" w:themeColor="text1"/>
        </w:rPr>
        <w:t xml:space="preserve"> à la faveur des augmentations notoires de la production de la Société nationale industrielle et minière (SNIM), qui exploite les gisements de fer du nord du pays et qu</w:t>
      </w:r>
      <w:r w:rsidR="001E2631" w:rsidRPr="00915B33">
        <w:rPr>
          <w:rFonts w:ascii="Times New Roman" w:hAnsi="Times New Roman" w:cs="Times New Roman"/>
          <w:color w:val="000000" w:themeColor="text1"/>
        </w:rPr>
        <w:t>i</w:t>
      </w:r>
      <w:r w:rsidRPr="00915B33">
        <w:rPr>
          <w:rFonts w:ascii="Times New Roman" w:hAnsi="Times New Roman" w:cs="Times New Roman"/>
          <w:color w:val="000000" w:themeColor="text1"/>
        </w:rPr>
        <w:t xml:space="preserve"> s’est diversifiée par la création de filiales spécialisées dans l’acier et </w:t>
      </w:r>
      <w:r w:rsidR="00D34903" w:rsidRPr="00915B33">
        <w:rPr>
          <w:rFonts w:ascii="Times New Roman" w:hAnsi="Times New Roman" w:cs="Times New Roman"/>
          <w:color w:val="000000" w:themeColor="text1"/>
        </w:rPr>
        <w:t xml:space="preserve">les travaux publics. Ce </w:t>
      </w:r>
      <w:r w:rsidR="001E2631" w:rsidRPr="00915B33">
        <w:rPr>
          <w:rFonts w:ascii="Times New Roman" w:hAnsi="Times New Roman" w:cs="Times New Roman"/>
          <w:color w:val="000000" w:themeColor="text1"/>
        </w:rPr>
        <w:t>regain</w:t>
      </w:r>
      <w:r w:rsidR="00D34903" w:rsidRPr="00915B33">
        <w:rPr>
          <w:rFonts w:ascii="Times New Roman" w:hAnsi="Times New Roman" w:cs="Times New Roman"/>
          <w:color w:val="000000" w:themeColor="text1"/>
        </w:rPr>
        <w:t xml:space="preserve"> est aussi dû à </w:t>
      </w:r>
      <w:r w:rsidRPr="00915B33">
        <w:rPr>
          <w:rFonts w:ascii="Times New Roman" w:hAnsi="Times New Roman" w:cs="Times New Roman"/>
          <w:color w:val="000000" w:themeColor="text1"/>
        </w:rPr>
        <w:t>la création de Tasiast</w:t>
      </w:r>
      <w:r w:rsidR="00D34903" w:rsidRPr="00915B33">
        <w:rPr>
          <w:rFonts w:ascii="Times New Roman" w:hAnsi="Times New Roman" w:cs="Times New Roman"/>
          <w:color w:val="000000" w:themeColor="text1"/>
        </w:rPr>
        <w:t xml:space="preserve">, société qui extrait l’or de la </w:t>
      </w:r>
      <w:r w:rsidR="00624F58" w:rsidRPr="00915B33">
        <w:rPr>
          <w:rFonts w:ascii="Times New Roman" w:hAnsi="Times New Roman" w:cs="Times New Roman"/>
          <w:color w:val="000000" w:themeColor="text1"/>
        </w:rPr>
        <w:t>mine</w:t>
      </w:r>
      <w:r w:rsidR="00D34903" w:rsidRPr="00915B33">
        <w:rPr>
          <w:rFonts w:ascii="Times New Roman" w:hAnsi="Times New Roman" w:cs="Times New Roman"/>
          <w:color w:val="000000" w:themeColor="text1"/>
        </w:rPr>
        <w:t xml:space="preserve"> éponyme situé dans la région de l’Inchiri à 300 km au nord-est de la capitale, Nouakchott.</w:t>
      </w:r>
    </w:p>
    <w:p w14:paraId="721E86AE" w14:textId="65AADD20" w:rsidR="002F083A" w:rsidRPr="00915B33" w:rsidRDefault="00061377" w:rsidP="005D1BB6">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Outre cette épine dorsale de l’industrie mauritanienne, le pays </w:t>
      </w:r>
      <w:r w:rsidR="003828A3" w:rsidRPr="00915B33">
        <w:rPr>
          <w:rFonts w:ascii="Times New Roman" w:hAnsi="Times New Roman" w:cs="Times New Roman"/>
          <w:color w:val="000000" w:themeColor="text1"/>
        </w:rPr>
        <w:t>a enregistré dans le même la création de plus d’une centaine d’entreprises et d’usines dans l’agroalimentaire, la chimie et la plastique, la mécanique et la métallurgie, celui des matériaux et construction, en plus du traitement et de la transformation des produits maritimes</w:t>
      </w:r>
      <w:r w:rsidR="00311798" w:rsidRPr="00915B33">
        <w:rPr>
          <w:rFonts w:ascii="Times New Roman" w:hAnsi="Times New Roman" w:cs="Times New Roman"/>
          <w:color w:val="000000" w:themeColor="text1"/>
        </w:rPr>
        <w:t>. Ces unités sont essentiellement localisées à Nouakchott et Nouadhibou, dans les deux plus grandes villes du pays.</w:t>
      </w:r>
      <w:r w:rsidR="00330F7B" w:rsidRPr="00915B33">
        <w:rPr>
          <w:rFonts w:ascii="Times New Roman" w:hAnsi="Times New Roman" w:cs="Times New Roman"/>
          <w:color w:val="000000" w:themeColor="text1"/>
        </w:rPr>
        <w:t xml:space="preserve"> Malgré l</w:t>
      </w:r>
      <w:r w:rsidR="002F083A" w:rsidRPr="00915B33">
        <w:rPr>
          <w:rFonts w:ascii="Times New Roman" w:hAnsi="Times New Roman" w:cs="Times New Roman"/>
          <w:color w:val="000000" w:themeColor="text1"/>
        </w:rPr>
        <w:t xml:space="preserve">’élaboration, par le </w:t>
      </w:r>
      <w:r w:rsidR="00624F58" w:rsidRPr="00915B33">
        <w:rPr>
          <w:rFonts w:ascii="Times New Roman" w:hAnsi="Times New Roman" w:cs="Times New Roman"/>
          <w:color w:val="000000" w:themeColor="text1"/>
        </w:rPr>
        <w:t>gouvernement</w:t>
      </w:r>
      <w:r w:rsidR="002F083A" w:rsidRPr="00915B33">
        <w:rPr>
          <w:rFonts w:ascii="Times New Roman" w:hAnsi="Times New Roman" w:cs="Times New Roman"/>
          <w:color w:val="000000" w:themeColor="text1"/>
        </w:rPr>
        <w:t>, de plans stratégiques, l</w:t>
      </w:r>
      <w:r w:rsidR="00330F7B" w:rsidRPr="00915B33">
        <w:rPr>
          <w:rFonts w:ascii="Times New Roman" w:hAnsi="Times New Roman" w:cs="Times New Roman"/>
          <w:color w:val="000000" w:themeColor="text1"/>
        </w:rPr>
        <w:t xml:space="preserve">’essor de ces dernières est plombé par de </w:t>
      </w:r>
      <w:r w:rsidR="00624F58" w:rsidRPr="00915B33">
        <w:rPr>
          <w:rFonts w:ascii="Times New Roman" w:hAnsi="Times New Roman" w:cs="Times New Roman"/>
          <w:color w:val="000000" w:themeColor="text1"/>
        </w:rPr>
        <w:t>nombreux</w:t>
      </w:r>
      <w:r w:rsidR="00330F7B" w:rsidRPr="00915B33">
        <w:rPr>
          <w:rFonts w:ascii="Times New Roman" w:hAnsi="Times New Roman" w:cs="Times New Roman"/>
          <w:color w:val="000000" w:themeColor="text1"/>
        </w:rPr>
        <w:t xml:space="preserve"> défis : manque des solutions industrielles, coût élevé d’énergie, le manque de formation et des moyens de financement et la concurrence des produits importés</w:t>
      </w:r>
      <w:r w:rsidR="002F083A" w:rsidRPr="00915B33">
        <w:rPr>
          <w:rFonts w:ascii="Times New Roman" w:hAnsi="Times New Roman" w:cs="Times New Roman"/>
          <w:color w:val="000000" w:themeColor="text1"/>
        </w:rPr>
        <w:t>, etc.</w:t>
      </w:r>
      <w:r w:rsidR="00CD39E1" w:rsidRPr="00915B33">
        <w:rPr>
          <w:rFonts w:ascii="Times New Roman" w:hAnsi="Times New Roman" w:cs="Times New Roman"/>
          <w:color w:val="000000" w:themeColor="text1"/>
        </w:rPr>
        <w:t xml:space="preserve"> cela se traduit par des fermetures </w:t>
      </w:r>
    </w:p>
    <w:p w14:paraId="1821A714" w14:textId="4984A625" w:rsidR="00F27423" w:rsidRPr="00915B33" w:rsidRDefault="00F27423" w:rsidP="005D1BB6">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w:t>
      </w:r>
      <w:r w:rsidR="0041639E" w:rsidRPr="00915B33">
        <w:rPr>
          <w:rFonts w:ascii="Times New Roman" w:hAnsi="Times New Roman" w:cs="Times New Roman"/>
          <w:color w:val="000000" w:themeColor="text1"/>
        </w:rPr>
        <w:t>a Stratégie d’action pour la relance de l’industrialisation 2015-2019</w:t>
      </w:r>
      <w:r w:rsidR="0041639E" w:rsidRPr="00915B33">
        <w:rPr>
          <w:rStyle w:val="Appelnotedebasdep"/>
          <w:rFonts w:ascii="Times New Roman" w:hAnsi="Times New Roman" w:cs="Times New Roman"/>
          <w:color w:val="000000" w:themeColor="text1"/>
        </w:rPr>
        <w:footnoteReference w:id="4"/>
      </w:r>
      <w:r w:rsidR="003C7F29" w:rsidRPr="00915B33">
        <w:rPr>
          <w:rFonts w:ascii="Times New Roman" w:hAnsi="Times New Roman" w:cs="Times New Roman"/>
          <w:color w:val="000000" w:themeColor="text1"/>
        </w:rPr>
        <w:t>, fournit l</w:t>
      </w:r>
      <w:r w:rsidR="005D1333" w:rsidRPr="00915B33">
        <w:rPr>
          <w:rFonts w:ascii="Times New Roman" w:hAnsi="Times New Roman" w:cs="Times New Roman"/>
          <w:color w:val="000000" w:themeColor="text1"/>
        </w:rPr>
        <w:t xml:space="preserve">es statistiques </w:t>
      </w:r>
      <w:r w:rsidR="003C7F29" w:rsidRPr="00915B33">
        <w:rPr>
          <w:rFonts w:ascii="Times New Roman" w:hAnsi="Times New Roman" w:cs="Times New Roman"/>
          <w:color w:val="000000" w:themeColor="text1"/>
        </w:rPr>
        <w:t xml:space="preserve">suivantes : </w:t>
      </w:r>
      <w:r w:rsidRPr="00915B33">
        <w:rPr>
          <w:rFonts w:ascii="Times New Roman" w:hAnsi="Times New Roman" w:cs="Times New Roman"/>
          <w:color w:val="000000" w:themeColor="text1"/>
        </w:rPr>
        <w:t>quatre-vingt-dix-sept (97) unités industrielles dont soixante-seize (76) sont opérationnelles et dix-neuves (19) fermées ou à l’arrêt</w:t>
      </w:r>
      <w:r w:rsidR="003C7F29" w:rsidRPr="00915B33">
        <w:rPr>
          <w:rFonts w:ascii="Times New Roman" w:hAnsi="Times New Roman" w:cs="Times New Roman"/>
          <w:color w:val="000000" w:themeColor="text1"/>
        </w:rPr>
        <w:t xml:space="preserve"> (tableau 1</w:t>
      </w:r>
      <w:r w:rsidR="00383AD9" w:rsidRPr="00915B33">
        <w:rPr>
          <w:rFonts w:ascii="Times New Roman" w:hAnsi="Times New Roman" w:cs="Times New Roman"/>
          <w:color w:val="000000" w:themeColor="text1"/>
        </w:rPr>
        <w:t>)</w:t>
      </w:r>
      <w:r w:rsidRPr="00915B33">
        <w:rPr>
          <w:rFonts w:ascii="Times New Roman" w:hAnsi="Times New Roman" w:cs="Times New Roman"/>
          <w:color w:val="000000" w:themeColor="text1"/>
        </w:rPr>
        <w:t xml:space="preserve">. </w:t>
      </w:r>
    </w:p>
    <w:p w14:paraId="5E136EAC" w14:textId="39C7C607" w:rsidR="00F27423" w:rsidRPr="00915B33" w:rsidRDefault="00F27423" w:rsidP="00BB202B">
      <w:pPr>
        <w:jc w:val="center"/>
        <w:rPr>
          <w:rFonts w:ascii="Times New Roman" w:eastAsia="Times New Roman" w:hAnsi="Times New Roman" w:cs="Times New Roman"/>
          <w:color w:val="000000" w:themeColor="text1"/>
          <w:lang w:eastAsia="fr-FR"/>
        </w:rPr>
      </w:pPr>
      <w:r w:rsidRPr="00915B33">
        <w:rPr>
          <w:rFonts w:ascii="Times New Roman" w:hAnsi="Times New Roman" w:cs="Times New Roman"/>
          <w:b/>
          <w:color w:val="000000" w:themeColor="text1"/>
        </w:rPr>
        <w:t>Tableau 1</w:t>
      </w:r>
      <w:r w:rsidRPr="00915B33">
        <w:rPr>
          <w:rFonts w:ascii="Times New Roman" w:hAnsi="Times New Roman" w:cs="Times New Roman"/>
          <w:color w:val="000000" w:themeColor="text1"/>
        </w:rPr>
        <w:t xml:space="preserve"> : </w:t>
      </w:r>
      <w:r w:rsidR="00B60BF5" w:rsidRPr="00915B33">
        <w:rPr>
          <w:rFonts w:ascii="Times New Roman" w:hAnsi="Times New Roman" w:cs="Times New Roman"/>
          <w:color w:val="000000" w:themeColor="text1"/>
        </w:rPr>
        <w:t>T</w:t>
      </w:r>
      <w:r w:rsidR="00A6799F" w:rsidRPr="00915B33">
        <w:rPr>
          <w:rFonts w:ascii="Times New Roman" w:hAnsi="Times New Roman" w:cs="Times New Roman"/>
          <w:color w:val="000000" w:themeColor="text1"/>
        </w:rPr>
        <w:t xml:space="preserve">ypologie des unités </w:t>
      </w:r>
      <w:r w:rsidRPr="00915B33">
        <w:rPr>
          <w:rFonts w:ascii="Times New Roman" w:hAnsi="Times New Roman" w:cs="Times New Roman"/>
          <w:color w:val="000000" w:themeColor="text1"/>
        </w:rPr>
        <w:t>industrielles en Mauritanie</w:t>
      </w:r>
    </w:p>
    <w:tbl>
      <w:tblPr>
        <w:tblStyle w:val="TableauGrille6Couleur-Accentuation41"/>
        <w:tblW w:w="0" w:type="auto"/>
        <w:tblLayout w:type="fixed"/>
        <w:tblLook w:val="0000" w:firstRow="0" w:lastRow="0" w:firstColumn="0" w:lastColumn="0" w:noHBand="0" w:noVBand="0"/>
      </w:tblPr>
      <w:tblGrid>
        <w:gridCol w:w="1674"/>
        <w:gridCol w:w="1832"/>
        <w:gridCol w:w="1113"/>
        <w:gridCol w:w="1262"/>
        <w:gridCol w:w="1258"/>
        <w:gridCol w:w="982"/>
        <w:gridCol w:w="1527"/>
      </w:tblGrid>
      <w:tr w:rsidR="00915B33" w:rsidRPr="00915B33" w14:paraId="44E4BCB1" w14:textId="77777777" w:rsidTr="000E4BD2">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1674" w:type="dxa"/>
          </w:tcPr>
          <w:p w14:paraId="2A89B678" w14:textId="77777777" w:rsidR="00F27423" w:rsidRPr="00915B33" w:rsidRDefault="00F27423">
            <w:pPr>
              <w:spacing w:line="240" w:lineRule="auto"/>
              <w:jc w:val="center"/>
              <w:rPr>
                <w:rFonts w:ascii="Times New Roman" w:eastAsia="Times New Roman" w:hAnsi="Times New Roman" w:cs="Times New Roman"/>
                <w:color w:val="000000" w:themeColor="text1"/>
                <w:lang w:eastAsia="fr-FR"/>
              </w:rPr>
            </w:pPr>
          </w:p>
        </w:tc>
        <w:tc>
          <w:tcPr>
            <w:tcW w:w="1832" w:type="dxa"/>
          </w:tcPr>
          <w:p w14:paraId="0029E859"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Agroalimentaire</w:t>
            </w:r>
          </w:p>
        </w:tc>
        <w:tc>
          <w:tcPr>
            <w:cnfStyle w:val="000010000000" w:firstRow="0" w:lastRow="0" w:firstColumn="0" w:lastColumn="0" w:oddVBand="1" w:evenVBand="0" w:oddHBand="0" w:evenHBand="0" w:firstRowFirstColumn="0" w:firstRowLastColumn="0" w:lastRowFirstColumn="0" w:lastRowLastColumn="0"/>
            <w:tcW w:w="1113" w:type="dxa"/>
          </w:tcPr>
          <w:p w14:paraId="62C34E22" w14:textId="77777777" w:rsidR="00F27423" w:rsidRPr="00915B33" w:rsidRDefault="00F27423">
            <w:pPr>
              <w:spacing w:line="240" w:lineRule="auto"/>
              <w:jc w:val="center"/>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Chimie&amp;</w:t>
            </w:r>
          </w:p>
          <w:p w14:paraId="79996A35" w14:textId="77777777" w:rsidR="00F27423" w:rsidRPr="00915B33" w:rsidRDefault="00F27423">
            <w:pPr>
              <w:spacing w:line="240" w:lineRule="auto"/>
              <w:jc w:val="center"/>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Plastique</w:t>
            </w:r>
          </w:p>
        </w:tc>
        <w:tc>
          <w:tcPr>
            <w:tcW w:w="1262" w:type="dxa"/>
          </w:tcPr>
          <w:p w14:paraId="0D8C6526"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Métallique</w:t>
            </w:r>
          </w:p>
        </w:tc>
        <w:tc>
          <w:tcPr>
            <w:cnfStyle w:val="000010000000" w:firstRow="0" w:lastRow="0" w:firstColumn="0" w:lastColumn="0" w:oddVBand="1" w:evenVBand="0" w:oddHBand="0" w:evenHBand="0" w:firstRowFirstColumn="0" w:firstRowLastColumn="0" w:lastRowFirstColumn="0" w:lastRowLastColumn="0"/>
            <w:tcW w:w="1258" w:type="dxa"/>
          </w:tcPr>
          <w:p w14:paraId="5E1119E0" w14:textId="77777777" w:rsidR="00F27423" w:rsidRPr="00915B33" w:rsidRDefault="00F27423">
            <w:pPr>
              <w:spacing w:line="240" w:lineRule="auto"/>
              <w:jc w:val="center"/>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Papiers&amp;</w:t>
            </w:r>
          </w:p>
          <w:p w14:paraId="511A939F" w14:textId="77777777" w:rsidR="00F27423" w:rsidRPr="00915B33" w:rsidRDefault="00F27423">
            <w:pPr>
              <w:spacing w:line="240" w:lineRule="auto"/>
              <w:jc w:val="center"/>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Cartons</w:t>
            </w:r>
          </w:p>
        </w:tc>
        <w:tc>
          <w:tcPr>
            <w:tcW w:w="982" w:type="dxa"/>
          </w:tcPr>
          <w:p w14:paraId="039E0E29"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Cuir&amp;</w:t>
            </w:r>
          </w:p>
          <w:p w14:paraId="6191F4BD"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Textile</w:t>
            </w:r>
          </w:p>
        </w:tc>
        <w:tc>
          <w:tcPr>
            <w:cnfStyle w:val="000010000000" w:firstRow="0" w:lastRow="0" w:firstColumn="0" w:lastColumn="0" w:oddVBand="1" w:evenVBand="0" w:oddHBand="0" w:evenHBand="0" w:firstRowFirstColumn="0" w:firstRowLastColumn="0" w:lastRowFirstColumn="0" w:lastRowLastColumn="0"/>
            <w:tcW w:w="1527" w:type="dxa"/>
          </w:tcPr>
          <w:p w14:paraId="3766D931" w14:textId="77777777" w:rsidR="00F27423" w:rsidRPr="00915B33" w:rsidRDefault="00F27423">
            <w:pPr>
              <w:spacing w:line="240" w:lineRule="auto"/>
              <w:jc w:val="center"/>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Matériaux&amp;</w:t>
            </w:r>
          </w:p>
          <w:p w14:paraId="7FA7012B"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Construction</w:t>
            </w:r>
          </w:p>
        </w:tc>
      </w:tr>
      <w:tr w:rsidR="00915B33" w:rsidRPr="00915B33" w14:paraId="080C50FA" w14:textId="77777777" w:rsidTr="000E4BD2">
        <w:trPr>
          <w:trHeight w:val="325"/>
        </w:trPr>
        <w:tc>
          <w:tcPr>
            <w:cnfStyle w:val="000010000000" w:firstRow="0" w:lastRow="0" w:firstColumn="0" w:lastColumn="0" w:oddVBand="1" w:evenVBand="0" w:oddHBand="0" w:evenHBand="0" w:firstRowFirstColumn="0" w:firstRowLastColumn="0" w:lastRowFirstColumn="0" w:lastRowLastColumn="0"/>
            <w:tcW w:w="1674" w:type="dxa"/>
          </w:tcPr>
          <w:p w14:paraId="1627A5B3" w14:textId="77777777" w:rsidR="00F27423" w:rsidRPr="00915B33" w:rsidRDefault="00F27423" w:rsidP="00020862">
            <w:pPr>
              <w:spacing w:line="240" w:lineRule="auto"/>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b/>
                <w:color w:val="000000" w:themeColor="text1"/>
                <w:lang w:eastAsia="fr-FR"/>
              </w:rPr>
              <w:t>Opérationnelle</w:t>
            </w:r>
          </w:p>
        </w:tc>
        <w:tc>
          <w:tcPr>
            <w:tcW w:w="1832" w:type="dxa"/>
          </w:tcPr>
          <w:p w14:paraId="0A0C7DE0"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35</w:t>
            </w:r>
          </w:p>
        </w:tc>
        <w:tc>
          <w:tcPr>
            <w:cnfStyle w:val="000010000000" w:firstRow="0" w:lastRow="0" w:firstColumn="0" w:lastColumn="0" w:oddVBand="1" w:evenVBand="0" w:oddHBand="0" w:evenHBand="0" w:firstRowFirstColumn="0" w:firstRowLastColumn="0" w:lastRowFirstColumn="0" w:lastRowLastColumn="0"/>
            <w:tcW w:w="1113" w:type="dxa"/>
          </w:tcPr>
          <w:p w14:paraId="1C45B68C" w14:textId="77777777" w:rsidR="00F27423" w:rsidRPr="00915B33" w:rsidRDefault="00F27423">
            <w:pPr>
              <w:spacing w:line="240" w:lineRule="auto"/>
              <w:jc w:val="center"/>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18</w:t>
            </w:r>
          </w:p>
        </w:tc>
        <w:tc>
          <w:tcPr>
            <w:tcW w:w="1262" w:type="dxa"/>
          </w:tcPr>
          <w:p w14:paraId="3978C6DE"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4</w:t>
            </w:r>
          </w:p>
        </w:tc>
        <w:tc>
          <w:tcPr>
            <w:cnfStyle w:val="000010000000" w:firstRow="0" w:lastRow="0" w:firstColumn="0" w:lastColumn="0" w:oddVBand="1" w:evenVBand="0" w:oddHBand="0" w:evenHBand="0" w:firstRowFirstColumn="0" w:firstRowLastColumn="0" w:lastRowFirstColumn="0" w:lastRowLastColumn="0"/>
            <w:tcW w:w="1258" w:type="dxa"/>
          </w:tcPr>
          <w:p w14:paraId="6971FA5A" w14:textId="77777777" w:rsidR="00F27423" w:rsidRPr="00915B33" w:rsidRDefault="00F27423">
            <w:pPr>
              <w:spacing w:line="240" w:lineRule="auto"/>
              <w:jc w:val="center"/>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5</w:t>
            </w:r>
          </w:p>
        </w:tc>
        <w:tc>
          <w:tcPr>
            <w:tcW w:w="982" w:type="dxa"/>
          </w:tcPr>
          <w:p w14:paraId="549E4861"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6</w:t>
            </w:r>
          </w:p>
        </w:tc>
        <w:tc>
          <w:tcPr>
            <w:cnfStyle w:val="000010000000" w:firstRow="0" w:lastRow="0" w:firstColumn="0" w:lastColumn="0" w:oddVBand="1" w:evenVBand="0" w:oddHBand="0" w:evenHBand="0" w:firstRowFirstColumn="0" w:firstRowLastColumn="0" w:lastRowFirstColumn="0" w:lastRowLastColumn="0"/>
            <w:tcW w:w="1527" w:type="dxa"/>
          </w:tcPr>
          <w:p w14:paraId="574B8A7A"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10</w:t>
            </w:r>
          </w:p>
        </w:tc>
      </w:tr>
      <w:tr w:rsidR="00915B33" w:rsidRPr="00915B33" w14:paraId="484D65B9" w14:textId="77777777" w:rsidTr="000E4BD2">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1674" w:type="dxa"/>
          </w:tcPr>
          <w:p w14:paraId="5B8B3473" w14:textId="77777777" w:rsidR="00F27423" w:rsidRPr="00915B33" w:rsidRDefault="00F27423" w:rsidP="00020862">
            <w:pPr>
              <w:spacing w:line="240" w:lineRule="auto"/>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b/>
                <w:color w:val="000000" w:themeColor="text1"/>
                <w:lang w:eastAsia="fr-FR"/>
              </w:rPr>
              <w:t>Fermée</w:t>
            </w:r>
          </w:p>
        </w:tc>
        <w:tc>
          <w:tcPr>
            <w:tcW w:w="1832" w:type="dxa"/>
          </w:tcPr>
          <w:p w14:paraId="0668115F"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10</w:t>
            </w:r>
          </w:p>
        </w:tc>
        <w:tc>
          <w:tcPr>
            <w:cnfStyle w:val="000010000000" w:firstRow="0" w:lastRow="0" w:firstColumn="0" w:lastColumn="0" w:oddVBand="1" w:evenVBand="0" w:oddHBand="0" w:evenHBand="0" w:firstRowFirstColumn="0" w:firstRowLastColumn="0" w:lastRowFirstColumn="0" w:lastRowLastColumn="0"/>
            <w:tcW w:w="1113" w:type="dxa"/>
          </w:tcPr>
          <w:p w14:paraId="616F2B12" w14:textId="77777777" w:rsidR="00F27423" w:rsidRPr="00915B33" w:rsidRDefault="00F27423">
            <w:pPr>
              <w:spacing w:line="240" w:lineRule="auto"/>
              <w:jc w:val="center"/>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6</w:t>
            </w:r>
          </w:p>
        </w:tc>
        <w:tc>
          <w:tcPr>
            <w:tcW w:w="1262" w:type="dxa"/>
          </w:tcPr>
          <w:p w14:paraId="00D44F46"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w:t>
            </w:r>
          </w:p>
        </w:tc>
        <w:tc>
          <w:tcPr>
            <w:cnfStyle w:val="000010000000" w:firstRow="0" w:lastRow="0" w:firstColumn="0" w:lastColumn="0" w:oddVBand="1" w:evenVBand="0" w:oddHBand="0" w:evenHBand="0" w:firstRowFirstColumn="0" w:firstRowLastColumn="0" w:lastRowFirstColumn="0" w:lastRowLastColumn="0"/>
            <w:tcW w:w="1258" w:type="dxa"/>
          </w:tcPr>
          <w:p w14:paraId="6BF1DBF6" w14:textId="77777777" w:rsidR="00F27423" w:rsidRPr="00915B33" w:rsidRDefault="00F27423">
            <w:pPr>
              <w:spacing w:line="240" w:lineRule="auto"/>
              <w:jc w:val="center"/>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w:t>
            </w:r>
          </w:p>
        </w:tc>
        <w:tc>
          <w:tcPr>
            <w:tcW w:w="982" w:type="dxa"/>
          </w:tcPr>
          <w:p w14:paraId="38905AAA"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w:t>
            </w:r>
          </w:p>
        </w:tc>
        <w:tc>
          <w:tcPr>
            <w:cnfStyle w:val="000010000000" w:firstRow="0" w:lastRow="0" w:firstColumn="0" w:lastColumn="0" w:oddVBand="1" w:evenVBand="0" w:oddHBand="0" w:evenHBand="0" w:firstRowFirstColumn="0" w:firstRowLastColumn="0" w:lastRowFirstColumn="0" w:lastRowLastColumn="0"/>
            <w:tcW w:w="1527" w:type="dxa"/>
          </w:tcPr>
          <w:p w14:paraId="14F2F929"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1</w:t>
            </w:r>
          </w:p>
        </w:tc>
      </w:tr>
      <w:tr w:rsidR="00915B33" w:rsidRPr="00915B33" w14:paraId="632DBB5B" w14:textId="77777777" w:rsidTr="000E4BD2">
        <w:trPr>
          <w:trHeight w:val="342"/>
        </w:trPr>
        <w:tc>
          <w:tcPr>
            <w:cnfStyle w:val="000010000000" w:firstRow="0" w:lastRow="0" w:firstColumn="0" w:lastColumn="0" w:oddVBand="1" w:evenVBand="0" w:oddHBand="0" w:evenHBand="0" w:firstRowFirstColumn="0" w:firstRowLastColumn="0" w:lastRowFirstColumn="0" w:lastRowLastColumn="0"/>
            <w:tcW w:w="1674" w:type="dxa"/>
          </w:tcPr>
          <w:p w14:paraId="5C443D27" w14:textId="77777777" w:rsidR="00F27423" w:rsidRPr="00915B33" w:rsidRDefault="00F27423" w:rsidP="00020862">
            <w:pPr>
              <w:spacing w:line="240" w:lineRule="auto"/>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Importance relative (%)</w:t>
            </w:r>
          </w:p>
        </w:tc>
        <w:tc>
          <w:tcPr>
            <w:tcW w:w="1832" w:type="dxa"/>
          </w:tcPr>
          <w:p w14:paraId="40EADDEE"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46%</w:t>
            </w:r>
          </w:p>
        </w:tc>
        <w:tc>
          <w:tcPr>
            <w:cnfStyle w:val="000010000000" w:firstRow="0" w:lastRow="0" w:firstColumn="0" w:lastColumn="0" w:oddVBand="1" w:evenVBand="0" w:oddHBand="0" w:evenHBand="0" w:firstRowFirstColumn="0" w:firstRowLastColumn="0" w:lastRowFirstColumn="0" w:lastRowLastColumn="0"/>
            <w:tcW w:w="1113" w:type="dxa"/>
          </w:tcPr>
          <w:p w14:paraId="0D50C85C" w14:textId="77777777" w:rsidR="00F27423" w:rsidRPr="00915B33" w:rsidRDefault="00F27423">
            <w:pPr>
              <w:spacing w:line="240" w:lineRule="auto"/>
              <w:jc w:val="center"/>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25%</w:t>
            </w:r>
          </w:p>
        </w:tc>
        <w:tc>
          <w:tcPr>
            <w:tcW w:w="1262" w:type="dxa"/>
          </w:tcPr>
          <w:p w14:paraId="6F231D2D"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5%</w:t>
            </w:r>
          </w:p>
        </w:tc>
        <w:tc>
          <w:tcPr>
            <w:cnfStyle w:val="000010000000" w:firstRow="0" w:lastRow="0" w:firstColumn="0" w:lastColumn="0" w:oddVBand="1" w:evenVBand="0" w:oddHBand="0" w:evenHBand="0" w:firstRowFirstColumn="0" w:firstRowLastColumn="0" w:lastRowFirstColumn="0" w:lastRowLastColumn="0"/>
            <w:tcW w:w="1258" w:type="dxa"/>
          </w:tcPr>
          <w:p w14:paraId="31234A8C" w14:textId="77777777" w:rsidR="00F27423" w:rsidRPr="00915B33" w:rsidRDefault="00F27423">
            <w:pPr>
              <w:spacing w:line="240" w:lineRule="auto"/>
              <w:jc w:val="center"/>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5%</w:t>
            </w:r>
          </w:p>
        </w:tc>
        <w:tc>
          <w:tcPr>
            <w:tcW w:w="982" w:type="dxa"/>
          </w:tcPr>
          <w:p w14:paraId="31EFB8CC"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7%</w:t>
            </w:r>
          </w:p>
        </w:tc>
        <w:tc>
          <w:tcPr>
            <w:cnfStyle w:val="000010000000" w:firstRow="0" w:lastRow="0" w:firstColumn="0" w:lastColumn="0" w:oddVBand="1" w:evenVBand="0" w:oddHBand="0" w:evenHBand="0" w:firstRowFirstColumn="0" w:firstRowLastColumn="0" w:lastRowFirstColumn="0" w:lastRowLastColumn="0"/>
            <w:tcW w:w="1527" w:type="dxa"/>
          </w:tcPr>
          <w:p w14:paraId="54913F14"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11%</w:t>
            </w:r>
          </w:p>
        </w:tc>
      </w:tr>
      <w:tr w:rsidR="00915B33" w:rsidRPr="00915B33" w14:paraId="63AD2268" w14:textId="77777777" w:rsidTr="000E4BD2">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1674" w:type="dxa"/>
          </w:tcPr>
          <w:p w14:paraId="6C796AC5" w14:textId="77777777" w:rsidR="00F27423" w:rsidRPr="00915B33" w:rsidRDefault="00F27423" w:rsidP="00020862">
            <w:pPr>
              <w:spacing w:line="240" w:lineRule="auto"/>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Total</w:t>
            </w:r>
          </w:p>
        </w:tc>
        <w:tc>
          <w:tcPr>
            <w:tcW w:w="1832" w:type="dxa"/>
          </w:tcPr>
          <w:p w14:paraId="09020A2C"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45</w:t>
            </w:r>
          </w:p>
        </w:tc>
        <w:tc>
          <w:tcPr>
            <w:cnfStyle w:val="000010000000" w:firstRow="0" w:lastRow="0" w:firstColumn="0" w:lastColumn="0" w:oddVBand="1" w:evenVBand="0" w:oddHBand="0" w:evenHBand="0" w:firstRowFirstColumn="0" w:firstRowLastColumn="0" w:lastRowFirstColumn="0" w:lastRowLastColumn="0"/>
            <w:tcW w:w="1113" w:type="dxa"/>
          </w:tcPr>
          <w:p w14:paraId="2E4CDE2D" w14:textId="77777777" w:rsidR="00F27423" w:rsidRPr="00915B33" w:rsidRDefault="00F27423">
            <w:pPr>
              <w:spacing w:line="240" w:lineRule="auto"/>
              <w:jc w:val="center"/>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24</w:t>
            </w:r>
          </w:p>
        </w:tc>
        <w:tc>
          <w:tcPr>
            <w:tcW w:w="1262" w:type="dxa"/>
          </w:tcPr>
          <w:p w14:paraId="55F433EC"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5</w:t>
            </w:r>
          </w:p>
        </w:tc>
        <w:tc>
          <w:tcPr>
            <w:cnfStyle w:val="000010000000" w:firstRow="0" w:lastRow="0" w:firstColumn="0" w:lastColumn="0" w:oddVBand="1" w:evenVBand="0" w:oddHBand="0" w:evenHBand="0" w:firstRowFirstColumn="0" w:firstRowLastColumn="0" w:lastRowFirstColumn="0" w:lastRowLastColumn="0"/>
            <w:tcW w:w="1258" w:type="dxa"/>
          </w:tcPr>
          <w:p w14:paraId="1478BAD4" w14:textId="77777777" w:rsidR="00F27423" w:rsidRPr="00915B33" w:rsidRDefault="00F27423">
            <w:pPr>
              <w:spacing w:line="240" w:lineRule="auto"/>
              <w:jc w:val="center"/>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5</w:t>
            </w:r>
          </w:p>
        </w:tc>
        <w:tc>
          <w:tcPr>
            <w:tcW w:w="982" w:type="dxa"/>
          </w:tcPr>
          <w:p w14:paraId="76A4258A"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7</w:t>
            </w:r>
          </w:p>
        </w:tc>
        <w:tc>
          <w:tcPr>
            <w:cnfStyle w:val="000010000000" w:firstRow="0" w:lastRow="0" w:firstColumn="0" w:lastColumn="0" w:oddVBand="1" w:evenVBand="0" w:oddHBand="0" w:evenHBand="0" w:firstRowFirstColumn="0" w:firstRowLastColumn="0" w:lastRowFirstColumn="0" w:lastRowLastColumn="0"/>
            <w:tcW w:w="1527" w:type="dxa"/>
          </w:tcPr>
          <w:p w14:paraId="124106C3"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11</w:t>
            </w:r>
          </w:p>
        </w:tc>
      </w:tr>
    </w:tbl>
    <w:p w14:paraId="040DD922" w14:textId="77777777" w:rsidR="00F27423" w:rsidRPr="00915B33" w:rsidRDefault="00F27423">
      <w:pPr>
        <w:jc w:val="both"/>
        <w:rPr>
          <w:rFonts w:ascii="Times New Roman" w:hAnsi="Times New Roman" w:cs="Times New Roman"/>
          <w:color w:val="000000" w:themeColor="text1"/>
        </w:rPr>
      </w:pPr>
      <w:r w:rsidRPr="00915B33">
        <w:rPr>
          <w:rFonts w:ascii="Times New Roman" w:hAnsi="Times New Roman" w:cs="Times New Roman"/>
          <w:color w:val="000000" w:themeColor="text1"/>
        </w:rPr>
        <w:t>(Source, MCIT</w:t>
      </w:r>
      <w:r w:rsidR="0004665F" w:rsidRPr="00915B33">
        <w:rPr>
          <w:rFonts w:ascii="Times New Roman" w:hAnsi="Times New Roman" w:cs="Times New Roman"/>
          <w:color w:val="000000" w:themeColor="text1"/>
        </w:rPr>
        <w:t xml:space="preserve"> 2015</w:t>
      </w:r>
      <w:r w:rsidRPr="00915B33">
        <w:rPr>
          <w:rFonts w:ascii="Times New Roman" w:hAnsi="Times New Roman" w:cs="Times New Roman"/>
          <w:color w:val="000000" w:themeColor="text1"/>
        </w:rPr>
        <w:t>)</w:t>
      </w:r>
    </w:p>
    <w:p w14:paraId="224FAFAA" w14:textId="66F20757" w:rsidR="00F27423" w:rsidRPr="00915B33" w:rsidRDefault="00A6799F" w:rsidP="005D1BB6">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Il ressort du tableau 1 que </w:t>
      </w:r>
      <w:r w:rsidR="00F27423" w:rsidRPr="00915B33">
        <w:rPr>
          <w:rFonts w:ascii="Times New Roman" w:hAnsi="Times New Roman" w:cs="Times New Roman"/>
          <w:color w:val="000000" w:themeColor="text1"/>
        </w:rPr>
        <w:t xml:space="preserve">l’agroalimentaire </w:t>
      </w:r>
      <w:r w:rsidRPr="00915B33">
        <w:rPr>
          <w:rFonts w:ascii="Times New Roman" w:hAnsi="Times New Roman" w:cs="Times New Roman"/>
          <w:color w:val="000000" w:themeColor="text1"/>
        </w:rPr>
        <w:t>est le secteur dominant (4</w:t>
      </w:r>
      <w:r w:rsidR="00F27423" w:rsidRPr="00915B33">
        <w:rPr>
          <w:rFonts w:ascii="Times New Roman" w:hAnsi="Times New Roman" w:cs="Times New Roman"/>
          <w:color w:val="000000" w:themeColor="text1"/>
        </w:rPr>
        <w:t>6%</w:t>
      </w:r>
      <w:r w:rsidRPr="00915B33">
        <w:rPr>
          <w:rFonts w:ascii="Times New Roman" w:hAnsi="Times New Roman" w:cs="Times New Roman"/>
          <w:color w:val="000000" w:themeColor="text1"/>
        </w:rPr>
        <w:t>)</w:t>
      </w:r>
      <w:r w:rsidR="00F27423" w:rsidRPr="00915B33">
        <w:rPr>
          <w:rFonts w:ascii="Times New Roman" w:hAnsi="Times New Roman" w:cs="Times New Roman"/>
          <w:color w:val="000000" w:themeColor="text1"/>
        </w:rPr>
        <w:t xml:space="preserve">. </w:t>
      </w:r>
      <w:r w:rsidRPr="00915B33">
        <w:rPr>
          <w:rFonts w:ascii="Times New Roman" w:hAnsi="Times New Roman" w:cs="Times New Roman"/>
          <w:color w:val="000000" w:themeColor="text1"/>
        </w:rPr>
        <w:t xml:space="preserve">Il comprend majoritairement </w:t>
      </w:r>
      <w:r w:rsidR="00F27423" w:rsidRPr="00915B33">
        <w:rPr>
          <w:rFonts w:ascii="Times New Roman" w:hAnsi="Times New Roman" w:cs="Times New Roman"/>
          <w:color w:val="000000" w:themeColor="text1"/>
        </w:rPr>
        <w:t>la production d’eau minérale</w:t>
      </w:r>
      <w:r w:rsidRPr="00915B33">
        <w:rPr>
          <w:rFonts w:ascii="Times New Roman" w:hAnsi="Times New Roman" w:cs="Times New Roman"/>
          <w:color w:val="000000" w:themeColor="text1"/>
        </w:rPr>
        <w:t xml:space="preserve">, avec ses </w:t>
      </w:r>
      <w:r w:rsidR="00F27423" w:rsidRPr="00915B33">
        <w:rPr>
          <w:rFonts w:ascii="Times New Roman" w:hAnsi="Times New Roman" w:cs="Times New Roman"/>
          <w:color w:val="000000" w:themeColor="text1"/>
        </w:rPr>
        <w:t xml:space="preserve">14 unités opérationnelles presque toutes situées à l’intérieur du </w:t>
      </w:r>
      <w:r w:rsidR="00C44574" w:rsidRPr="00915B33">
        <w:rPr>
          <w:rFonts w:ascii="Times New Roman" w:hAnsi="Times New Roman" w:cs="Times New Roman"/>
          <w:color w:val="000000" w:themeColor="text1"/>
        </w:rPr>
        <w:t>pays. Il</w:t>
      </w:r>
      <w:r w:rsidR="00624F58">
        <w:rPr>
          <w:rFonts w:ascii="Times New Roman" w:hAnsi="Times New Roman" w:cs="Times New Roman"/>
          <w:color w:val="000000" w:themeColor="text1"/>
        </w:rPr>
        <w:t xml:space="preserve"> </w:t>
      </w:r>
      <w:r w:rsidR="00750544" w:rsidRPr="00915B33">
        <w:rPr>
          <w:rFonts w:ascii="Times New Roman" w:hAnsi="Times New Roman" w:cs="Times New Roman"/>
          <w:color w:val="000000" w:themeColor="text1"/>
        </w:rPr>
        <w:t>est suivi par l</w:t>
      </w:r>
      <w:r w:rsidR="00F27423" w:rsidRPr="00915B33">
        <w:rPr>
          <w:rFonts w:ascii="Times New Roman" w:hAnsi="Times New Roman" w:cs="Times New Roman"/>
          <w:color w:val="000000" w:themeColor="text1"/>
        </w:rPr>
        <w:t>a filière des produits céréaliers et pâtes alimentaires et celle du « Lait et produits laitiers » arrivent respectivement à la deuxième et à la troisième</w:t>
      </w:r>
      <w:r w:rsidR="00020862" w:rsidRPr="00915B33">
        <w:rPr>
          <w:rFonts w:ascii="Times New Roman" w:hAnsi="Times New Roman" w:cs="Times New Roman"/>
          <w:color w:val="000000" w:themeColor="text1"/>
        </w:rPr>
        <w:t xml:space="preserve"> position</w:t>
      </w:r>
      <w:r w:rsidR="00F27423" w:rsidRPr="00915B33">
        <w:rPr>
          <w:rFonts w:ascii="Times New Roman" w:hAnsi="Times New Roman" w:cs="Times New Roman"/>
          <w:color w:val="000000" w:themeColor="text1"/>
        </w:rPr>
        <w:t xml:space="preserve"> </w:t>
      </w:r>
      <w:r w:rsidR="005D1BB6" w:rsidRPr="00915B33">
        <w:rPr>
          <w:rFonts w:ascii="Times New Roman" w:hAnsi="Times New Roman" w:cs="Times New Roman"/>
          <w:color w:val="000000" w:themeColor="text1"/>
        </w:rPr>
        <w:t>en termes</w:t>
      </w:r>
      <w:r w:rsidR="00F27423" w:rsidRPr="00915B33">
        <w:rPr>
          <w:rFonts w:ascii="Times New Roman" w:hAnsi="Times New Roman" w:cs="Times New Roman"/>
          <w:color w:val="000000" w:themeColor="text1"/>
        </w:rPr>
        <w:t xml:space="preserve"> d’importance.</w:t>
      </w:r>
    </w:p>
    <w:p w14:paraId="6612DD14" w14:textId="4240DF51" w:rsidR="00780EBD" w:rsidRPr="00915B33" w:rsidRDefault="006A43EC" w:rsidP="005D1BB6">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Plus de trois quarts des UI sont </w:t>
      </w:r>
      <w:r w:rsidR="0082080D" w:rsidRPr="00915B33">
        <w:rPr>
          <w:rFonts w:ascii="Times New Roman" w:hAnsi="Times New Roman" w:cs="Times New Roman"/>
          <w:color w:val="000000" w:themeColor="text1"/>
        </w:rPr>
        <w:t>concentrés</w:t>
      </w:r>
      <w:r w:rsidRPr="00915B33">
        <w:rPr>
          <w:rFonts w:ascii="Times New Roman" w:hAnsi="Times New Roman" w:cs="Times New Roman"/>
          <w:color w:val="000000" w:themeColor="text1"/>
        </w:rPr>
        <w:t xml:space="preserve"> à Nouakchott. La capitale économique, Nouadhibou, abrite les installations d’exportation des produits miniers et celles de transformation des produits de la pêche. </w:t>
      </w:r>
      <w:r w:rsidR="00C67F0E" w:rsidRPr="00915B33">
        <w:rPr>
          <w:rFonts w:ascii="Times New Roman" w:hAnsi="Times New Roman" w:cs="Times New Roman"/>
          <w:color w:val="000000" w:themeColor="text1"/>
        </w:rPr>
        <w:t>Les villes de Zouerate et d’Akjout</w:t>
      </w:r>
      <w:r w:rsidR="00624F58">
        <w:rPr>
          <w:rFonts w:ascii="Times New Roman" w:hAnsi="Times New Roman" w:cs="Times New Roman"/>
          <w:color w:val="000000" w:themeColor="text1"/>
        </w:rPr>
        <w:t xml:space="preserve"> </w:t>
      </w:r>
      <w:r w:rsidR="00780EBD" w:rsidRPr="00915B33">
        <w:rPr>
          <w:rFonts w:ascii="Times New Roman" w:hAnsi="Times New Roman" w:cs="Times New Roman"/>
          <w:color w:val="000000" w:themeColor="text1"/>
        </w:rPr>
        <w:t>sont également des cités industrielles d’extraction de minerai de fer et d’or, respectivement. Les autres localités, Bénichab, Ouad Naga, Guérou, Boutilimit, Tiguent, EL Gareh et Tijirit sont le siège des unités de production d’eau minérale.</w:t>
      </w:r>
    </w:p>
    <w:p w14:paraId="7CB83DAD" w14:textId="1112EAC8" w:rsidR="00F27423" w:rsidRPr="00915B33" w:rsidRDefault="00F27423">
      <w:pPr>
        <w:jc w:val="center"/>
        <w:rPr>
          <w:rFonts w:ascii="Times New Roman" w:eastAsia="Times New Roman" w:hAnsi="Times New Roman" w:cs="Times New Roman"/>
          <w:b/>
          <w:color w:val="000000" w:themeColor="text1"/>
          <w:lang w:eastAsia="fr-FR"/>
        </w:rPr>
      </w:pPr>
      <w:r w:rsidRPr="00915B33">
        <w:rPr>
          <w:rFonts w:ascii="Times New Roman" w:hAnsi="Times New Roman" w:cs="Times New Roman"/>
          <w:b/>
          <w:color w:val="000000" w:themeColor="text1"/>
        </w:rPr>
        <w:t>Tableau 2</w:t>
      </w:r>
      <w:r w:rsidR="00366B3A" w:rsidRPr="00915B33">
        <w:rPr>
          <w:rFonts w:ascii="Times New Roman" w:hAnsi="Times New Roman" w:cs="Times New Roman"/>
          <w:b/>
          <w:color w:val="000000" w:themeColor="text1"/>
        </w:rPr>
        <w:t xml:space="preserve"> </w:t>
      </w:r>
      <w:r w:rsidRPr="00915B33">
        <w:rPr>
          <w:rFonts w:ascii="Times New Roman" w:hAnsi="Times New Roman" w:cs="Times New Roman"/>
          <w:color w:val="000000" w:themeColor="text1"/>
        </w:rPr>
        <w:t xml:space="preserve">: </w:t>
      </w:r>
      <w:r w:rsidR="00B60BF5" w:rsidRPr="00915B33">
        <w:rPr>
          <w:rFonts w:ascii="Times New Roman" w:hAnsi="Times New Roman" w:cs="Times New Roman"/>
          <w:color w:val="000000" w:themeColor="text1"/>
        </w:rPr>
        <w:t>R</w:t>
      </w:r>
      <w:r w:rsidRPr="00915B33">
        <w:rPr>
          <w:rFonts w:ascii="Times New Roman" w:hAnsi="Times New Roman" w:cs="Times New Roman"/>
          <w:color w:val="000000" w:themeColor="text1"/>
        </w:rPr>
        <w:t>épartition géographique des unités industrielles</w:t>
      </w:r>
    </w:p>
    <w:tbl>
      <w:tblPr>
        <w:tblStyle w:val="TableauGrille2-Accentuation61"/>
        <w:tblW w:w="0" w:type="auto"/>
        <w:tblLayout w:type="fixed"/>
        <w:tblLook w:val="0000" w:firstRow="0" w:lastRow="0" w:firstColumn="0" w:lastColumn="0" w:noHBand="0" w:noVBand="0"/>
      </w:tblPr>
      <w:tblGrid>
        <w:gridCol w:w="2663"/>
        <w:gridCol w:w="2019"/>
        <w:gridCol w:w="1621"/>
        <w:gridCol w:w="1814"/>
        <w:gridCol w:w="1817"/>
      </w:tblGrid>
      <w:tr w:rsidR="00915B33" w:rsidRPr="00915B33" w14:paraId="2CA13476" w14:textId="77777777" w:rsidTr="0090626D">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663" w:type="dxa"/>
          </w:tcPr>
          <w:p w14:paraId="432307E3" w14:textId="77777777" w:rsidR="00F27423" w:rsidRPr="00915B33" w:rsidRDefault="00F27423" w:rsidP="00020862">
            <w:pPr>
              <w:spacing w:line="240" w:lineRule="auto"/>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Localisation</w:t>
            </w:r>
          </w:p>
        </w:tc>
        <w:tc>
          <w:tcPr>
            <w:tcW w:w="2019" w:type="dxa"/>
          </w:tcPr>
          <w:p w14:paraId="31F27AFD"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Nouakchott</w:t>
            </w:r>
          </w:p>
        </w:tc>
        <w:tc>
          <w:tcPr>
            <w:cnfStyle w:val="000010000000" w:firstRow="0" w:lastRow="0" w:firstColumn="0" w:lastColumn="0" w:oddVBand="1" w:evenVBand="0" w:oddHBand="0" w:evenHBand="0" w:firstRowFirstColumn="0" w:firstRowLastColumn="0" w:lastRowFirstColumn="0" w:lastRowLastColumn="0"/>
            <w:tcW w:w="1621" w:type="dxa"/>
          </w:tcPr>
          <w:p w14:paraId="3E65087D" w14:textId="77777777" w:rsidR="00F27423" w:rsidRPr="00915B33" w:rsidRDefault="00F27423">
            <w:pPr>
              <w:spacing w:line="240" w:lineRule="auto"/>
              <w:jc w:val="center"/>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Nouadhibou</w:t>
            </w:r>
          </w:p>
        </w:tc>
        <w:tc>
          <w:tcPr>
            <w:tcW w:w="1814" w:type="dxa"/>
          </w:tcPr>
          <w:p w14:paraId="45036F50"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Autres localités</w:t>
            </w:r>
          </w:p>
        </w:tc>
        <w:tc>
          <w:tcPr>
            <w:cnfStyle w:val="000010000000" w:firstRow="0" w:lastRow="0" w:firstColumn="0" w:lastColumn="0" w:oddVBand="1" w:evenVBand="0" w:oddHBand="0" w:evenHBand="0" w:firstRowFirstColumn="0" w:firstRowLastColumn="0" w:lastRowFirstColumn="0" w:lastRowLastColumn="0"/>
            <w:tcW w:w="1817" w:type="dxa"/>
          </w:tcPr>
          <w:p w14:paraId="2FD229FA"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Total</w:t>
            </w:r>
          </w:p>
        </w:tc>
      </w:tr>
      <w:tr w:rsidR="00915B33" w:rsidRPr="00915B33" w14:paraId="5EAB9347" w14:textId="77777777" w:rsidTr="0090626D">
        <w:trPr>
          <w:trHeight w:val="300"/>
        </w:trPr>
        <w:tc>
          <w:tcPr>
            <w:cnfStyle w:val="000010000000" w:firstRow="0" w:lastRow="0" w:firstColumn="0" w:lastColumn="0" w:oddVBand="1" w:evenVBand="0" w:oddHBand="0" w:evenHBand="0" w:firstRowFirstColumn="0" w:firstRowLastColumn="0" w:lastRowFirstColumn="0" w:lastRowLastColumn="0"/>
            <w:tcW w:w="2663" w:type="dxa"/>
          </w:tcPr>
          <w:p w14:paraId="3F666823" w14:textId="77777777" w:rsidR="00F27423" w:rsidRPr="00915B33" w:rsidRDefault="00F27423" w:rsidP="00020862">
            <w:pPr>
              <w:spacing w:line="240" w:lineRule="auto"/>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b/>
                <w:color w:val="000000" w:themeColor="text1"/>
                <w:lang w:eastAsia="fr-FR"/>
              </w:rPr>
              <w:t>Nombre</w:t>
            </w:r>
          </w:p>
        </w:tc>
        <w:tc>
          <w:tcPr>
            <w:tcW w:w="2019" w:type="dxa"/>
          </w:tcPr>
          <w:p w14:paraId="56B5D550"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74</w:t>
            </w:r>
          </w:p>
        </w:tc>
        <w:tc>
          <w:tcPr>
            <w:cnfStyle w:val="000010000000" w:firstRow="0" w:lastRow="0" w:firstColumn="0" w:lastColumn="0" w:oddVBand="1" w:evenVBand="0" w:oddHBand="0" w:evenHBand="0" w:firstRowFirstColumn="0" w:firstRowLastColumn="0" w:lastRowFirstColumn="0" w:lastRowLastColumn="0"/>
            <w:tcW w:w="1621" w:type="dxa"/>
          </w:tcPr>
          <w:p w14:paraId="18C54CA9" w14:textId="77777777" w:rsidR="00F27423" w:rsidRPr="00915B33" w:rsidRDefault="00F27423">
            <w:pPr>
              <w:spacing w:line="240" w:lineRule="auto"/>
              <w:jc w:val="center"/>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7</w:t>
            </w:r>
          </w:p>
        </w:tc>
        <w:tc>
          <w:tcPr>
            <w:tcW w:w="1814" w:type="dxa"/>
          </w:tcPr>
          <w:p w14:paraId="641AA6C4"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16</w:t>
            </w:r>
          </w:p>
        </w:tc>
        <w:tc>
          <w:tcPr>
            <w:cnfStyle w:val="000010000000" w:firstRow="0" w:lastRow="0" w:firstColumn="0" w:lastColumn="0" w:oddVBand="1" w:evenVBand="0" w:oddHBand="0" w:evenHBand="0" w:firstRowFirstColumn="0" w:firstRowLastColumn="0" w:lastRowFirstColumn="0" w:lastRowLastColumn="0"/>
            <w:tcW w:w="1817" w:type="dxa"/>
          </w:tcPr>
          <w:p w14:paraId="6D7C8FF5"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97</w:t>
            </w:r>
          </w:p>
        </w:tc>
      </w:tr>
      <w:tr w:rsidR="00915B33" w:rsidRPr="00915B33" w14:paraId="38034B24" w14:textId="77777777" w:rsidTr="0090626D">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663" w:type="dxa"/>
          </w:tcPr>
          <w:p w14:paraId="773DEC92" w14:textId="77777777" w:rsidR="00F27423" w:rsidRPr="00915B33" w:rsidRDefault="003F065F" w:rsidP="00020862">
            <w:pPr>
              <w:spacing w:line="240" w:lineRule="auto"/>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b/>
                <w:color w:val="000000" w:themeColor="text1"/>
                <w:lang w:eastAsia="fr-FR"/>
              </w:rPr>
              <w:t>Importance</w:t>
            </w:r>
            <w:r w:rsidR="00F27423" w:rsidRPr="00915B33">
              <w:rPr>
                <w:rFonts w:ascii="Times New Roman" w:eastAsia="Times New Roman" w:hAnsi="Times New Roman" w:cs="Times New Roman"/>
                <w:b/>
                <w:color w:val="000000" w:themeColor="text1"/>
                <w:lang w:eastAsia="fr-FR"/>
              </w:rPr>
              <w:t xml:space="preserve"> relative (%)</w:t>
            </w:r>
          </w:p>
        </w:tc>
        <w:tc>
          <w:tcPr>
            <w:tcW w:w="2019" w:type="dxa"/>
          </w:tcPr>
          <w:p w14:paraId="1DA99ED1"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76%</w:t>
            </w:r>
          </w:p>
        </w:tc>
        <w:tc>
          <w:tcPr>
            <w:cnfStyle w:val="000010000000" w:firstRow="0" w:lastRow="0" w:firstColumn="0" w:lastColumn="0" w:oddVBand="1" w:evenVBand="0" w:oddHBand="0" w:evenHBand="0" w:firstRowFirstColumn="0" w:firstRowLastColumn="0" w:lastRowFirstColumn="0" w:lastRowLastColumn="0"/>
            <w:tcW w:w="1621" w:type="dxa"/>
          </w:tcPr>
          <w:p w14:paraId="0F3E827C" w14:textId="77777777" w:rsidR="00F27423" w:rsidRPr="00915B33" w:rsidRDefault="00F27423">
            <w:pPr>
              <w:spacing w:line="240" w:lineRule="auto"/>
              <w:jc w:val="center"/>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7%</w:t>
            </w:r>
          </w:p>
        </w:tc>
        <w:tc>
          <w:tcPr>
            <w:tcW w:w="1814" w:type="dxa"/>
          </w:tcPr>
          <w:p w14:paraId="6C207841"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16%</w:t>
            </w:r>
          </w:p>
        </w:tc>
        <w:tc>
          <w:tcPr>
            <w:cnfStyle w:val="000010000000" w:firstRow="0" w:lastRow="0" w:firstColumn="0" w:lastColumn="0" w:oddVBand="1" w:evenVBand="0" w:oddHBand="0" w:evenHBand="0" w:firstRowFirstColumn="0" w:firstRowLastColumn="0" w:lastRowFirstColumn="0" w:lastRowLastColumn="0"/>
            <w:tcW w:w="1817" w:type="dxa"/>
          </w:tcPr>
          <w:p w14:paraId="34B25212"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100%</w:t>
            </w:r>
          </w:p>
        </w:tc>
      </w:tr>
    </w:tbl>
    <w:p w14:paraId="71666C4E" w14:textId="77777777" w:rsidR="00F27423" w:rsidRPr="00915B33" w:rsidRDefault="00F27423">
      <w:pPr>
        <w:jc w:val="both"/>
        <w:rPr>
          <w:rFonts w:ascii="Times New Roman" w:hAnsi="Times New Roman" w:cs="Times New Roman"/>
          <w:color w:val="000000" w:themeColor="text1"/>
        </w:rPr>
      </w:pPr>
    </w:p>
    <w:p w14:paraId="0155F070" w14:textId="77777777" w:rsidR="00780EBD" w:rsidRPr="00915B33" w:rsidRDefault="00F27423" w:rsidP="005D1BB6">
      <w:pPr>
        <w:spacing w:line="360" w:lineRule="auto"/>
        <w:jc w:val="both"/>
        <w:rPr>
          <w:rFonts w:ascii="Times New Roman" w:hAnsi="Times New Roman" w:cs="Times New Roman"/>
          <w:b/>
          <w:color w:val="000000" w:themeColor="text1"/>
        </w:rPr>
      </w:pPr>
      <w:r w:rsidRPr="00915B33">
        <w:rPr>
          <w:rFonts w:ascii="Times New Roman" w:hAnsi="Times New Roman" w:cs="Times New Roman"/>
          <w:color w:val="000000" w:themeColor="text1"/>
        </w:rPr>
        <w:t xml:space="preserve">La Mauritanie entretient des échanges commerciaux avec de nombreux pays à travers le monde. </w:t>
      </w:r>
      <w:r w:rsidR="00C80F5F" w:rsidRPr="00915B33">
        <w:rPr>
          <w:rFonts w:ascii="Times New Roman" w:hAnsi="Times New Roman" w:cs="Times New Roman"/>
          <w:color w:val="000000" w:themeColor="text1"/>
        </w:rPr>
        <w:t>Dans son rapport 2109, l’O</w:t>
      </w:r>
      <w:r w:rsidR="001227C0" w:rsidRPr="00915B33">
        <w:rPr>
          <w:rFonts w:ascii="Times New Roman" w:hAnsi="Times New Roman" w:cs="Times New Roman"/>
          <w:color w:val="000000" w:themeColor="text1"/>
        </w:rPr>
        <w:t xml:space="preserve">ffice national de la </w:t>
      </w:r>
      <w:r w:rsidR="00C44574" w:rsidRPr="00915B33">
        <w:rPr>
          <w:rFonts w:ascii="Times New Roman" w:hAnsi="Times New Roman" w:cs="Times New Roman"/>
          <w:color w:val="000000" w:themeColor="text1"/>
        </w:rPr>
        <w:t>Statistique</w:t>
      </w:r>
      <w:r w:rsidR="001227C0" w:rsidRPr="00915B33">
        <w:rPr>
          <w:rFonts w:ascii="Times New Roman" w:hAnsi="Times New Roman" w:cs="Times New Roman"/>
          <w:color w:val="000000" w:themeColor="text1"/>
        </w:rPr>
        <w:t xml:space="preserve"> (ONS),</w:t>
      </w:r>
      <w:r w:rsidR="00C80F5F" w:rsidRPr="00915B33">
        <w:rPr>
          <w:rFonts w:ascii="Times New Roman" w:hAnsi="Times New Roman" w:cs="Times New Roman"/>
          <w:color w:val="000000" w:themeColor="text1"/>
        </w:rPr>
        <w:t xml:space="preserve"> estiment que</w:t>
      </w:r>
      <w:r w:rsidR="001227C0" w:rsidRPr="00915B33">
        <w:rPr>
          <w:rFonts w:ascii="Times New Roman" w:hAnsi="Times New Roman" w:cs="Times New Roman"/>
          <w:color w:val="000000" w:themeColor="text1"/>
        </w:rPr>
        <w:t xml:space="preserve"> les </w:t>
      </w:r>
      <w:r w:rsidR="00780EBD" w:rsidRPr="00915B33">
        <w:rPr>
          <w:rFonts w:ascii="Times New Roman" w:eastAsia="Times New Roman" w:hAnsi="Times New Roman" w:cs="Times New Roman"/>
          <w:color w:val="000000" w:themeColor="text1"/>
          <w:kern w:val="0"/>
          <w:lang w:eastAsia="fr-FR"/>
        </w:rPr>
        <w:t xml:space="preserve">échanges commerciaux de la Mauritanie </w:t>
      </w:r>
      <w:r w:rsidR="001227C0" w:rsidRPr="00915B33">
        <w:rPr>
          <w:rFonts w:ascii="Times New Roman" w:eastAsia="Times New Roman" w:hAnsi="Times New Roman" w:cs="Times New Roman"/>
          <w:color w:val="000000" w:themeColor="text1"/>
          <w:kern w:val="0"/>
          <w:lang w:eastAsia="fr-FR"/>
        </w:rPr>
        <w:t>et ses partenaires extérieurs s’élèvent à 73 303 millions MRU. L</w:t>
      </w:r>
      <w:r w:rsidR="00C80F5F" w:rsidRPr="00915B33">
        <w:rPr>
          <w:rFonts w:ascii="Times New Roman" w:eastAsia="Times New Roman" w:hAnsi="Times New Roman" w:cs="Times New Roman"/>
          <w:color w:val="000000" w:themeColor="text1"/>
          <w:kern w:val="0"/>
          <w:lang w:eastAsia="fr-FR"/>
        </w:rPr>
        <w:t xml:space="preserve">es principaux </w:t>
      </w:r>
      <w:r w:rsidR="00C44574" w:rsidRPr="00915B33">
        <w:rPr>
          <w:rFonts w:ascii="Times New Roman" w:eastAsia="Times New Roman" w:hAnsi="Times New Roman" w:cs="Times New Roman"/>
          <w:color w:val="000000" w:themeColor="text1"/>
          <w:kern w:val="0"/>
          <w:lang w:eastAsia="fr-FR"/>
        </w:rPr>
        <w:t>partenaires</w:t>
      </w:r>
      <w:r w:rsidR="00C80F5F" w:rsidRPr="00915B33">
        <w:rPr>
          <w:rFonts w:ascii="Times New Roman" w:eastAsia="Times New Roman" w:hAnsi="Times New Roman" w:cs="Times New Roman"/>
          <w:color w:val="000000" w:themeColor="text1"/>
          <w:kern w:val="0"/>
          <w:lang w:eastAsia="fr-FR"/>
        </w:rPr>
        <w:t xml:space="preserve"> sont dans l</w:t>
      </w:r>
      <w:r w:rsidR="001227C0" w:rsidRPr="00915B33">
        <w:rPr>
          <w:rFonts w:ascii="Times New Roman" w:eastAsia="Times New Roman" w:hAnsi="Times New Roman" w:cs="Times New Roman"/>
          <w:color w:val="000000" w:themeColor="text1"/>
          <w:kern w:val="0"/>
          <w:lang w:eastAsia="fr-FR"/>
        </w:rPr>
        <w:t>’</w:t>
      </w:r>
      <w:r w:rsidR="00C80F5F" w:rsidRPr="00915B33">
        <w:rPr>
          <w:rFonts w:ascii="Times New Roman" w:eastAsia="Times New Roman" w:hAnsi="Times New Roman" w:cs="Times New Roman"/>
          <w:color w:val="000000" w:themeColor="text1"/>
          <w:kern w:val="0"/>
          <w:lang w:eastAsia="fr-FR"/>
        </w:rPr>
        <w:t xml:space="preserve">ordre : </w:t>
      </w:r>
      <w:r w:rsidR="001227C0" w:rsidRPr="00915B33">
        <w:rPr>
          <w:rFonts w:ascii="Times New Roman" w:eastAsia="Times New Roman" w:hAnsi="Times New Roman" w:cs="Times New Roman"/>
          <w:color w:val="000000" w:themeColor="text1"/>
          <w:kern w:val="0"/>
          <w:lang w:eastAsia="fr-FR"/>
        </w:rPr>
        <w:t xml:space="preserve">Espagne </w:t>
      </w:r>
      <w:r w:rsidR="00C80F5F" w:rsidRPr="00915B33">
        <w:rPr>
          <w:rFonts w:ascii="Times New Roman" w:eastAsia="Times New Roman" w:hAnsi="Times New Roman" w:cs="Times New Roman"/>
          <w:color w:val="000000" w:themeColor="text1"/>
          <w:kern w:val="0"/>
          <w:lang w:eastAsia="fr-FR"/>
        </w:rPr>
        <w:t>(18,5 %),</w:t>
      </w:r>
      <w:r w:rsidR="001227C0" w:rsidRPr="00915B33">
        <w:rPr>
          <w:rFonts w:ascii="Times New Roman" w:eastAsia="Times New Roman" w:hAnsi="Times New Roman" w:cs="Times New Roman"/>
          <w:color w:val="000000" w:themeColor="text1"/>
          <w:kern w:val="0"/>
          <w:lang w:eastAsia="fr-FR"/>
        </w:rPr>
        <w:t xml:space="preserve"> Suisse (18,2 %), France (12,7%) et Belgique</w:t>
      </w:r>
      <w:r w:rsidR="00780EBD" w:rsidRPr="00915B33">
        <w:rPr>
          <w:rFonts w:ascii="Times New Roman" w:eastAsia="Times New Roman" w:hAnsi="Times New Roman" w:cs="Times New Roman"/>
          <w:color w:val="000000" w:themeColor="text1"/>
          <w:kern w:val="0"/>
          <w:lang w:eastAsia="fr-FR"/>
        </w:rPr>
        <w:t xml:space="preserve"> (10</w:t>
      </w:r>
      <w:r w:rsidR="001227C0" w:rsidRPr="00915B33">
        <w:rPr>
          <w:rFonts w:ascii="Times New Roman" w:eastAsia="Times New Roman" w:hAnsi="Times New Roman" w:cs="Times New Roman"/>
          <w:color w:val="000000" w:themeColor="text1"/>
          <w:kern w:val="0"/>
          <w:lang w:eastAsia="fr-FR"/>
        </w:rPr>
        <w:t>,6%)</w:t>
      </w:r>
      <w:r w:rsidR="001138C2" w:rsidRPr="00915B33">
        <w:rPr>
          <w:rStyle w:val="Appelnotedebasdep"/>
          <w:rFonts w:ascii="Times New Roman" w:eastAsia="Times New Roman" w:hAnsi="Times New Roman" w:cs="Times New Roman"/>
          <w:color w:val="000000" w:themeColor="text1"/>
          <w:kern w:val="0"/>
          <w:lang w:eastAsia="fr-FR"/>
        </w:rPr>
        <w:footnoteReference w:id="5"/>
      </w:r>
      <w:r w:rsidR="00780EBD" w:rsidRPr="00915B33">
        <w:rPr>
          <w:rFonts w:ascii="Times New Roman" w:eastAsia="Times New Roman" w:hAnsi="Times New Roman" w:cs="Times New Roman"/>
          <w:color w:val="000000" w:themeColor="text1"/>
          <w:kern w:val="0"/>
          <w:lang w:eastAsia="fr-FR"/>
        </w:rPr>
        <w:t>.</w:t>
      </w:r>
    </w:p>
    <w:p w14:paraId="58F5B527" w14:textId="448516B6" w:rsidR="00F27423" w:rsidRPr="00915B33" w:rsidRDefault="00F27423">
      <w:pPr>
        <w:jc w:val="center"/>
        <w:rPr>
          <w:rFonts w:ascii="Times New Roman" w:eastAsia="Times New Roman" w:hAnsi="Times New Roman" w:cs="Times New Roman"/>
          <w:b/>
          <w:bCs/>
          <w:color w:val="000000" w:themeColor="text1"/>
          <w:lang w:eastAsia="fr-FR"/>
        </w:rPr>
      </w:pPr>
      <w:r w:rsidRPr="00915B33">
        <w:rPr>
          <w:rFonts w:ascii="Times New Roman" w:hAnsi="Times New Roman" w:cs="Times New Roman"/>
          <w:b/>
          <w:color w:val="000000" w:themeColor="text1"/>
        </w:rPr>
        <w:t xml:space="preserve">Tableau </w:t>
      </w:r>
      <w:r w:rsidR="00A92DF0" w:rsidRPr="00915B33">
        <w:rPr>
          <w:rFonts w:ascii="Times New Roman" w:hAnsi="Times New Roman" w:cs="Times New Roman"/>
          <w:b/>
          <w:color w:val="000000" w:themeColor="text1"/>
        </w:rPr>
        <w:t>3</w:t>
      </w:r>
      <w:r w:rsidRPr="00915B33">
        <w:rPr>
          <w:rFonts w:ascii="Times New Roman" w:hAnsi="Times New Roman" w:cs="Times New Roman"/>
          <w:color w:val="000000" w:themeColor="text1"/>
        </w:rPr>
        <w:t xml:space="preserve"> : </w:t>
      </w:r>
      <w:r w:rsidR="00B60BF5" w:rsidRPr="00915B33">
        <w:rPr>
          <w:rFonts w:ascii="Times New Roman" w:hAnsi="Times New Roman" w:cs="Times New Roman"/>
          <w:color w:val="000000" w:themeColor="text1"/>
        </w:rPr>
        <w:t>C</w:t>
      </w:r>
      <w:r w:rsidRPr="00915B33">
        <w:rPr>
          <w:rFonts w:ascii="Times New Roman" w:hAnsi="Times New Roman" w:cs="Times New Roman"/>
          <w:color w:val="000000" w:themeColor="text1"/>
        </w:rPr>
        <w:t>atégories et parts des importations et exportations mauritaniennes en 201</w:t>
      </w:r>
      <w:r w:rsidR="00093AB0" w:rsidRPr="00915B33">
        <w:rPr>
          <w:rFonts w:ascii="Times New Roman" w:hAnsi="Times New Roman" w:cs="Times New Roman"/>
          <w:color w:val="000000" w:themeColor="text1"/>
        </w:rPr>
        <w:t>8</w:t>
      </w:r>
    </w:p>
    <w:tbl>
      <w:tblPr>
        <w:tblStyle w:val="TableauGrille3-Accentuation51"/>
        <w:tblW w:w="0" w:type="auto"/>
        <w:tblLayout w:type="fixed"/>
        <w:tblLook w:val="0000" w:firstRow="0" w:lastRow="0" w:firstColumn="0" w:lastColumn="0" w:noHBand="0" w:noVBand="0"/>
      </w:tblPr>
      <w:tblGrid>
        <w:gridCol w:w="2851"/>
        <w:gridCol w:w="1700"/>
        <w:gridCol w:w="1844"/>
        <w:gridCol w:w="1450"/>
        <w:gridCol w:w="1812"/>
      </w:tblGrid>
      <w:tr w:rsidR="00915B33" w:rsidRPr="00915B33" w14:paraId="26E5008A" w14:textId="77777777" w:rsidTr="0090626D">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851" w:type="dxa"/>
          </w:tcPr>
          <w:p w14:paraId="65338969" w14:textId="77777777" w:rsidR="00F27423" w:rsidRPr="00915B33" w:rsidRDefault="00F27423">
            <w:pPr>
              <w:spacing w:line="240" w:lineRule="auto"/>
              <w:jc w:val="center"/>
              <w:rPr>
                <w:rFonts w:ascii="Times New Roman" w:eastAsia="Times New Roman" w:hAnsi="Times New Roman" w:cs="Times New Roman"/>
                <w:b/>
                <w:bCs/>
                <w:color w:val="000000" w:themeColor="text1"/>
                <w:lang w:eastAsia="fr-FR"/>
              </w:rPr>
            </w:pPr>
            <w:r w:rsidRPr="00915B33">
              <w:rPr>
                <w:rFonts w:ascii="Times New Roman" w:eastAsia="Times New Roman" w:hAnsi="Times New Roman" w:cs="Times New Roman"/>
                <w:b/>
                <w:bCs/>
                <w:color w:val="000000" w:themeColor="text1"/>
                <w:lang w:eastAsia="fr-FR"/>
              </w:rPr>
              <w:t>Catégories de produits</w:t>
            </w:r>
          </w:p>
        </w:tc>
        <w:tc>
          <w:tcPr>
            <w:tcW w:w="3544" w:type="dxa"/>
            <w:gridSpan w:val="2"/>
          </w:tcPr>
          <w:p w14:paraId="052B6A33"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lang w:eastAsia="fr-FR"/>
              </w:rPr>
            </w:pPr>
            <w:r w:rsidRPr="00915B33">
              <w:rPr>
                <w:rFonts w:ascii="Times New Roman" w:eastAsia="Times New Roman" w:hAnsi="Times New Roman" w:cs="Times New Roman"/>
                <w:b/>
                <w:bCs/>
                <w:color w:val="000000" w:themeColor="text1"/>
                <w:lang w:eastAsia="fr-FR"/>
              </w:rPr>
              <w:t>Part dans les importations (%)</w:t>
            </w:r>
          </w:p>
        </w:tc>
        <w:tc>
          <w:tcPr>
            <w:cnfStyle w:val="000010000000" w:firstRow="0" w:lastRow="0" w:firstColumn="0" w:lastColumn="0" w:oddVBand="1" w:evenVBand="0" w:oddHBand="0" w:evenHBand="0" w:firstRowFirstColumn="0" w:firstRowLastColumn="0" w:lastRowFirstColumn="0" w:lastRowLastColumn="0"/>
            <w:tcW w:w="3261" w:type="dxa"/>
            <w:gridSpan w:val="2"/>
          </w:tcPr>
          <w:p w14:paraId="6D95CCF7"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b/>
                <w:bCs/>
                <w:color w:val="000000" w:themeColor="text1"/>
                <w:lang w:eastAsia="fr-FR"/>
              </w:rPr>
              <w:t>Part dans les exportations (%)</w:t>
            </w:r>
          </w:p>
        </w:tc>
      </w:tr>
      <w:tr w:rsidR="00915B33" w:rsidRPr="00915B33" w14:paraId="3A59D5DE" w14:textId="77777777" w:rsidTr="0090626D">
        <w:trPr>
          <w:trHeight w:val="300"/>
        </w:trPr>
        <w:tc>
          <w:tcPr>
            <w:cnfStyle w:val="000010000000" w:firstRow="0" w:lastRow="0" w:firstColumn="0" w:lastColumn="0" w:oddVBand="1" w:evenVBand="0" w:oddHBand="0" w:evenHBand="0" w:firstRowFirstColumn="0" w:firstRowLastColumn="0" w:lastRowFirstColumn="0" w:lastRowLastColumn="0"/>
            <w:tcW w:w="2851" w:type="dxa"/>
          </w:tcPr>
          <w:p w14:paraId="3A527BAF" w14:textId="77777777" w:rsidR="00F27423" w:rsidRPr="00915B33" w:rsidRDefault="00F27423">
            <w:pPr>
              <w:spacing w:line="240" w:lineRule="auto"/>
              <w:jc w:val="center"/>
              <w:rPr>
                <w:rFonts w:ascii="Times New Roman" w:eastAsia="Times New Roman" w:hAnsi="Times New Roman" w:cs="Times New Roman"/>
                <w:color w:val="000000" w:themeColor="text1"/>
                <w:lang w:eastAsia="fr-FR"/>
              </w:rPr>
            </w:pPr>
          </w:p>
        </w:tc>
        <w:tc>
          <w:tcPr>
            <w:tcW w:w="1700" w:type="dxa"/>
          </w:tcPr>
          <w:p w14:paraId="095FC258"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Nationales</w:t>
            </w:r>
          </w:p>
        </w:tc>
        <w:tc>
          <w:tcPr>
            <w:cnfStyle w:val="000010000000" w:firstRow="0" w:lastRow="0" w:firstColumn="0" w:lastColumn="0" w:oddVBand="1" w:evenVBand="0" w:oddHBand="0" w:evenHBand="0" w:firstRowFirstColumn="0" w:firstRowLastColumn="0" w:lastRowFirstColumn="0" w:lastRowLastColumn="0"/>
            <w:tcW w:w="1843" w:type="dxa"/>
          </w:tcPr>
          <w:p w14:paraId="39AF4E4F" w14:textId="77777777" w:rsidR="00F27423" w:rsidRPr="00915B33" w:rsidRDefault="00F27423">
            <w:pPr>
              <w:spacing w:line="240" w:lineRule="auto"/>
              <w:jc w:val="center"/>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Mondiales</w:t>
            </w:r>
          </w:p>
        </w:tc>
        <w:tc>
          <w:tcPr>
            <w:tcW w:w="1450" w:type="dxa"/>
          </w:tcPr>
          <w:p w14:paraId="155C0A36"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Nationales</w:t>
            </w:r>
          </w:p>
        </w:tc>
        <w:tc>
          <w:tcPr>
            <w:cnfStyle w:val="000010000000" w:firstRow="0" w:lastRow="0" w:firstColumn="0" w:lastColumn="0" w:oddVBand="1" w:evenVBand="0" w:oddHBand="0" w:evenHBand="0" w:firstRowFirstColumn="0" w:firstRowLastColumn="0" w:lastRowFirstColumn="0" w:lastRowLastColumn="0"/>
            <w:tcW w:w="1812" w:type="dxa"/>
          </w:tcPr>
          <w:p w14:paraId="07008779"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Mondiales</w:t>
            </w:r>
          </w:p>
        </w:tc>
      </w:tr>
      <w:tr w:rsidR="00915B33" w:rsidRPr="00915B33" w14:paraId="28314D62" w14:textId="77777777" w:rsidTr="004E231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851" w:type="dxa"/>
          </w:tcPr>
          <w:p w14:paraId="236E863C" w14:textId="77777777" w:rsidR="00F27423" w:rsidRPr="00915B33" w:rsidRDefault="00000000">
            <w:pPr>
              <w:spacing w:line="240" w:lineRule="auto"/>
              <w:rPr>
                <w:rFonts w:ascii="Times New Roman" w:eastAsia="Times New Roman" w:hAnsi="Times New Roman" w:cs="Times New Roman"/>
                <w:b/>
                <w:color w:val="000000" w:themeColor="text1"/>
                <w:lang w:eastAsia="fr-FR"/>
              </w:rPr>
            </w:pPr>
            <w:hyperlink r:id="rId10" w:history="1">
              <w:r w:rsidR="00F27423" w:rsidRPr="00915B33">
                <w:rPr>
                  <w:rStyle w:val="Lienhypertexte"/>
                  <w:rFonts w:ascii="Times New Roman" w:eastAsia="Times New Roman" w:hAnsi="Times New Roman" w:cs="Times New Roman"/>
                  <w:b/>
                  <w:color w:val="000000" w:themeColor="text1"/>
                  <w:u w:val="none"/>
                  <w:lang w:eastAsia="fr-FR"/>
                </w:rPr>
                <w:t>Produits manufacturés</w:t>
              </w:r>
            </w:hyperlink>
          </w:p>
        </w:tc>
        <w:tc>
          <w:tcPr>
            <w:tcW w:w="1700" w:type="dxa"/>
            <w:vAlign w:val="center"/>
          </w:tcPr>
          <w:p w14:paraId="62206471" w14:textId="77777777" w:rsidR="00F27423" w:rsidRPr="00915B33" w:rsidRDefault="00F27423" w:rsidP="004E23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56,76</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0FBA292E" w14:textId="77777777" w:rsidR="00F27423" w:rsidRPr="00915B33" w:rsidRDefault="00F27423" w:rsidP="004E231F">
            <w:pPr>
              <w:spacing w:line="240" w:lineRule="auto"/>
              <w:jc w:val="center"/>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0,01</w:t>
            </w:r>
          </w:p>
        </w:tc>
        <w:tc>
          <w:tcPr>
            <w:tcW w:w="1450" w:type="dxa"/>
            <w:vAlign w:val="center"/>
          </w:tcPr>
          <w:p w14:paraId="73CA934A" w14:textId="77777777" w:rsidR="00F27423" w:rsidRPr="00915B33" w:rsidRDefault="00F27423" w:rsidP="004E23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0,008</w:t>
            </w:r>
          </w:p>
        </w:tc>
        <w:tc>
          <w:tcPr>
            <w:cnfStyle w:val="000010000000" w:firstRow="0" w:lastRow="0" w:firstColumn="0" w:lastColumn="0" w:oddVBand="1" w:evenVBand="0" w:oddHBand="0" w:evenHBand="0" w:firstRowFirstColumn="0" w:firstRowLastColumn="0" w:lastRowFirstColumn="0" w:lastRowLastColumn="0"/>
            <w:tcW w:w="1812" w:type="dxa"/>
            <w:vAlign w:val="center"/>
          </w:tcPr>
          <w:p w14:paraId="3D8165F5" w14:textId="77777777" w:rsidR="00F27423" w:rsidRPr="00915B33" w:rsidRDefault="00F27423" w:rsidP="004E231F">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0</w:t>
            </w:r>
          </w:p>
        </w:tc>
      </w:tr>
      <w:tr w:rsidR="00915B33" w:rsidRPr="00915B33" w14:paraId="5A6541C7" w14:textId="77777777" w:rsidTr="004E231F">
        <w:trPr>
          <w:trHeight w:val="300"/>
        </w:trPr>
        <w:tc>
          <w:tcPr>
            <w:cnfStyle w:val="000010000000" w:firstRow="0" w:lastRow="0" w:firstColumn="0" w:lastColumn="0" w:oddVBand="1" w:evenVBand="0" w:oddHBand="0" w:evenHBand="0" w:firstRowFirstColumn="0" w:firstRowLastColumn="0" w:lastRowFirstColumn="0" w:lastRowLastColumn="0"/>
            <w:tcW w:w="2851" w:type="dxa"/>
          </w:tcPr>
          <w:p w14:paraId="0672793A" w14:textId="77777777" w:rsidR="00F27423" w:rsidRPr="00915B33" w:rsidRDefault="00000000">
            <w:pPr>
              <w:spacing w:line="240" w:lineRule="auto"/>
              <w:rPr>
                <w:rFonts w:ascii="Times New Roman" w:eastAsia="Times New Roman" w:hAnsi="Times New Roman" w:cs="Times New Roman"/>
                <w:b/>
                <w:color w:val="000000" w:themeColor="text1"/>
                <w:lang w:eastAsia="fr-FR"/>
              </w:rPr>
            </w:pPr>
            <w:hyperlink r:id="rId11" w:history="1">
              <w:r w:rsidR="00F27423" w:rsidRPr="00915B33">
                <w:rPr>
                  <w:rStyle w:val="Lienhypertexte"/>
                  <w:rFonts w:ascii="Times New Roman" w:eastAsia="Times New Roman" w:hAnsi="Times New Roman" w:cs="Times New Roman"/>
                  <w:b/>
                  <w:color w:val="000000" w:themeColor="text1"/>
                  <w:u w:val="none"/>
                  <w:lang w:eastAsia="fr-FR"/>
                </w:rPr>
                <w:t>Produits agricoles</w:t>
              </w:r>
            </w:hyperlink>
          </w:p>
        </w:tc>
        <w:tc>
          <w:tcPr>
            <w:tcW w:w="1700" w:type="dxa"/>
            <w:vAlign w:val="center"/>
          </w:tcPr>
          <w:p w14:paraId="70A16AA1" w14:textId="77777777" w:rsidR="00F27423" w:rsidRPr="00915B33" w:rsidRDefault="00F27423" w:rsidP="004E23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20,175</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7B84840B" w14:textId="77777777" w:rsidR="00F27423" w:rsidRPr="00915B33" w:rsidRDefault="00F27423" w:rsidP="004E231F">
            <w:pPr>
              <w:spacing w:line="240" w:lineRule="auto"/>
              <w:jc w:val="center"/>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0,026</w:t>
            </w:r>
          </w:p>
        </w:tc>
        <w:tc>
          <w:tcPr>
            <w:tcW w:w="1450" w:type="dxa"/>
            <w:vAlign w:val="center"/>
          </w:tcPr>
          <w:p w14:paraId="25CA8705" w14:textId="77777777" w:rsidR="00F27423" w:rsidRPr="00915B33" w:rsidRDefault="00F27423" w:rsidP="004E23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41,192</w:t>
            </w:r>
          </w:p>
        </w:tc>
        <w:tc>
          <w:tcPr>
            <w:cnfStyle w:val="000010000000" w:firstRow="0" w:lastRow="0" w:firstColumn="0" w:lastColumn="0" w:oddVBand="1" w:evenVBand="0" w:oddHBand="0" w:evenHBand="0" w:firstRowFirstColumn="0" w:firstRowLastColumn="0" w:lastRowFirstColumn="0" w:lastRowLastColumn="0"/>
            <w:tcW w:w="1812" w:type="dxa"/>
            <w:vAlign w:val="center"/>
          </w:tcPr>
          <w:p w14:paraId="65AA8961" w14:textId="77777777" w:rsidR="00F27423" w:rsidRPr="00915B33" w:rsidRDefault="00F27423" w:rsidP="004E231F">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0,039</w:t>
            </w:r>
          </w:p>
        </w:tc>
      </w:tr>
      <w:tr w:rsidR="00915B33" w:rsidRPr="00915B33" w14:paraId="5B75A740" w14:textId="77777777" w:rsidTr="004E231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851" w:type="dxa"/>
          </w:tcPr>
          <w:p w14:paraId="79994C93" w14:textId="77777777" w:rsidR="00F27423" w:rsidRPr="00915B33" w:rsidRDefault="00000000">
            <w:pPr>
              <w:spacing w:line="240" w:lineRule="auto"/>
              <w:rPr>
                <w:rFonts w:ascii="Times New Roman" w:eastAsia="Times New Roman" w:hAnsi="Times New Roman" w:cs="Times New Roman"/>
                <w:b/>
                <w:color w:val="000000" w:themeColor="text1"/>
                <w:lang w:eastAsia="fr-FR"/>
              </w:rPr>
            </w:pPr>
            <w:hyperlink r:id="rId12" w:history="1">
              <w:r w:rsidR="00F27423" w:rsidRPr="00915B33">
                <w:rPr>
                  <w:rStyle w:val="Lienhypertexte"/>
                  <w:rFonts w:ascii="Times New Roman" w:eastAsia="Times New Roman" w:hAnsi="Times New Roman" w:cs="Times New Roman"/>
                  <w:b/>
                  <w:color w:val="000000" w:themeColor="text1"/>
                  <w:u w:val="none"/>
                  <w:lang w:eastAsia="fr-FR"/>
                </w:rPr>
                <w:t>Pétrole et produits miniers</w:t>
              </w:r>
            </w:hyperlink>
          </w:p>
        </w:tc>
        <w:tc>
          <w:tcPr>
            <w:tcW w:w="1700" w:type="dxa"/>
            <w:vAlign w:val="center"/>
          </w:tcPr>
          <w:p w14:paraId="091BA914" w14:textId="77777777" w:rsidR="00F27423" w:rsidRPr="00915B33" w:rsidRDefault="00F27423" w:rsidP="004E23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15,039</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0532198B" w14:textId="77777777" w:rsidR="00F27423" w:rsidRPr="00915B33" w:rsidRDefault="00F27423" w:rsidP="004E231F">
            <w:pPr>
              <w:spacing w:line="240" w:lineRule="auto"/>
              <w:jc w:val="center"/>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0,013</w:t>
            </w:r>
          </w:p>
        </w:tc>
        <w:tc>
          <w:tcPr>
            <w:tcW w:w="1450" w:type="dxa"/>
            <w:vAlign w:val="center"/>
          </w:tcPr>
          <w:p w14:paraId="6E0AA297" w14:textId="77777777" w:rsidR="00F27423" w:rsidRPr="00915B33" w:rsidRDefault="00F27423" w:rsidP="004E23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44,607</w:t>
            </w:r>
          </w:p>
        </w:tc>
        <w:tc>
          <w:tcPr>
            <w:cnfStyle w:val="000010000000" w:firstRow="0" w:lastRow="0" w:firstColumn="0" w:lastColumn="0" w:oddVBand="1" w:evenVBand="0" w:oddHBand="0" w:evenHBand="0" w:firstRowFirstColumn="0" w:firstRowLastColumn="0" w:lastRowFirstColumn="0" w:lastRowLastColumn="0"/>
            <w:tcW w:w="1812" w:type="dxa"/>
            <w:vAlign w:val="center"/>
          </w:tcPr>
          <w:p w14:paraId="290C646E" w14:textId="77777777" w:rsidR="00F27423" w:rsidRPr="00915B33" w:rsidRDefault="00F27423" w:rsidP="004E231F">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0,028</w:t>
            </w:r>
          </w:p>
        </w:tc>
      </w:tr>
      <w:tr w:rsidR="00915B33" w:rsidRPr="00915B33" w14:paraId="6F06A803" w14:textId="77777777" w:rsidTr="004E231F">
        <w:trPr>
          <w:trHeight w:val="300"/>
        </w:trPr>
        <w:tc>
          <w:tcPr>
            <w:cnfStyle w:val="000010000000" w:firstRow="0" w:lastRow="0" w:firstColumn="0" w:lastColumn="0" w:oddVBand="1" w:evenVBand="0" w:oddHBand="0" w:evenHBand="0" w:firstRowFirstColumn="0" w:firstRowLastColumn="0" w:lastRowFirstColumn="0" w:lastRowLastColumn="0"/>
            <w:tcW w:w="2851" w:type="dxa"/>
          </w:tcPr>
          <w:p w14:paraId="4B9E338B" w14:textId="77777777" w:rsidR="00F27423" w:rsidRPr="00915B33" w:rsidRDefault="00F27423">
            <w:pPr>
              <w:spacing w:line="240" w:lineRule="auto"/>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Autres marchandises</w:t>
            </w:r>
          </w:p>
        </w:tc>
        <w:tc>
          <w:tcPr>
            <w:tcW w:w="1700" w:type="dxa"/>
            <w:vAlign w:val="center"/>
          </w:tcPr>
          <w:p w14:paraId="0F2C278D" w14:textId="77777777" w:rsidR="00F27423" w:rsidRPr="00915B33" w:rsidRDefault="00F27423" w:rsidP="004E23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8,026</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2BF60DB6" w14:textId="77777777" w:rsidR="00F27423" w:rsidRPr="00915B33" w:rsidRDefault="00F27423" w:rsidP="004E231F">
            <w:pPr>
              <w:spacing w:line="240" w:lineRule="auto"/>
              <w:jc w:val="center"/>
              <w:rPr>
                <w:rFonts w:ascii="Times New Roman" w:eastAsia="Times New Roman" w:hAnsi="Times New Roman" w:cs="Times New Roman"/>
                <w:color w:val="000000" w:themeColor="text1"/>
                <w:lang w:eastAsia="fr-FR"/>
              </w:rPr>
            </w:pPr>
          </w:p>
        </w:tc>
        <w:tc>
          <w:tcPr>
            <w:tcW w:w="1450" w:type="dxa"/>
            <w:vAlign w:val="center"/>
          </w:tcPr>
          <w:p w14:paraId="1978CF85" w14:textId="77777777" w:rsidR="00F27423" w:rsidRPr="00915B33" w:rsidRDefault="00F27423" w:rsidP="004E23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14,193</w:t>
            </w:r>
          </w:p>
        </w:tc>
        <w:tc>
          <w:tcPr>
            <w:cnfStyle w:val="000010000000" w:firstRow="0" w:lastRow="0" w:firstColumn="0" w:lastColumn="0" w:oddVBand="1" w:evenVBand="0" w:oddHBand="0" w:evenHBand="0" w:firstRowFirstColumn="0" w:firstRowLastColumn="0" w:lastRowFirstColumn="0" w:lastRowLastColumn="0"/>
            <w:tcW w:w="1812" w:type="dxa"/>
            <w:vAlign w:val="center"/>
          </w:tcPr>
          <w:p w14:paraId="4ABDD0F8" w14:textId="77777777" w:rsidR="00F27423" w:rsidRPr="00915B33" w:rsidRDefault="00F27423" w:rsidP="004E231F">
            <w:pPr>
              <w:spacing w:line="240" w:lineRule="auto"/>
              <w:jc w:val="center"/>
              <w:rPr>
                <w:rFonts w:ascii="Times New Roman" w:eastAsia="Times New Roman" w:hAnsi="Times New Roman" w:cs="Times New Roman"/>
                <w:color w:val="000000" w:themeColor="text1"/>
                <w:lang w:eastAsia="fr-FR"/>
              </w:rPr>
            </w:pPr>
          </w:p>
        </w:tc>
      </w:tr>
      <w:tr w:rsidR="00915B33" w:rsidRPr="00915B33" w14:paraId="151BD2EC" w14:textId="77777777" w:rsidTr="004E231F">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851" w:type="dxa"/>
          </w:tcPr>
          <w:p w14:paraId="6D6866D6" w14:textId="77777777" w:rsidR="00F27423" w:rsidRPr="00915B33" w:rsidRDefault="00000000">
            <w:pPr>
              <w:spacing w:line="240" w:lineRule="auto"/>
              <w:rPr>
                <w:rFonts w:ascii="Times New Roman" w:eastAsia="Times New Roman" w:hAnsi="Times New Roman" w:cs="Times New Roman"/>
                <w:b/>
                <w:bCs/>
                <w:color w:val="000000" w:themeColor="text1"/>
                <w:lang w:eastAsia="fr-FR"/>
              </w:rPr>
            </w:pPr>
            <w:hyperlink r:id="rId13" w:history="1">
              <w:r w:rsidR="00F27423" w:rsidRPr="00915B33">
                <w:rPr>
                  <w:rStyle w:val="Lienhypertexte"/>
                  <w:rFonts w:ascii="Times New Roman" w:eastAsia="Times New Roman" w:hAnsi="Times New Roman" w:cs="Times New Roman"/>
                  <w:b/>
                  <w:bCs/>
                  <w:color w:val="000000" w:themeColor="text1"/>
                  <w:u w:val="none"/>
                  <w:lang w:eastAsia="fr-FR"/>
                </w:rPr>
                <w:t>Total</w:t>
              </w:r>
            </w:hyperlink>
          </w:p>
        </w:tc>
        <w:tc>
          <w:tcPr>
            <w:tcW w:w="1700" w:type="dxa"/>
            <w:vAlign w:val="center"/>
          </w:tcPr>
          <w:p w14:paraId="593E015F" w14:textId="77777777" w:rsidR="00F27423" w:rsidRPr="00915B33" w:rsidRDefault="00F27423" w:rsidP="004E23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lang w:eastAsia="fr-FR"/>
              </w:rPr>
            </w:pPr>
            <w:r w:rsidRPr="00915B33">
              <w:rPr>
                <w:rFonts w:ascii="Times New Roman" w:eastAsia="Times New Roman" w:hAnsi="Times New Roman" w:cs="Times New Roman"/>
                <w:b/>
                <w:bCs/>
                <w:color w:val="000000" w:themeColor="text1"/>
                <w:lang w:eastAsia="fr-FR"/>
              </w:rPr>
              <w:t>100</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3AC78D6D" w14:textId="77777777" w:rsidR="00F27423" w:rsidRPr="00915B33" w:rsidRDefault="00F27423" w:rsidP="004E231F">
            <w:pPr>
              <w:spacing w:line="240" w:lineRule="auto"/>
              <w:jc w:val="center"/>
              <w:rPr>
                <w:rFonts w:ascii="Times New Roman" w:eastAsia="Times New Roman" w:hAnsi="Times New Roman" w:cs="Times New Roman"/>
                <w:b/>
                <w:bCs/>
                <w:color w:val="000000" w:themeColor="text1"/>
                <w:lang w:eastAsia="fr-FR"/>
              </w:rPr>
            </w:pPr>
            <w:r w:rsidRPr="00915B33">
              <w:rPr>
                <w:rFonts w:ascii="Times New Roman" w:eastAsia="Times New Roman" w:hAnsi="Times New Roman" w:cs="Times New Roman"/>
                <w:b/>
                <w:bCs/>
                <w:color w:val="000000" w:themeColor="text1"/>
                <w:lang w:eastAsia="fr-FR"/>
              </w:rPr>
              <w:t>0,012</w:t>
            </w:r>
          </w:p>
        </w:tc>
        <w:tc>
          <w:tcPr>
            <w:tcW w:w="1450" w:type="dxa"/>
            <w:vAlign w:val="center"/>
          </w:tcPr>
          <w:p w14:paraId="1489685D" w14:textId="77777777" w:rsidR="00F27423" w:rsidRPr="00915B33" w:rsidRDefault="00F27423" w:rsidP="004E23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lang w:eastAsia="fr-FR"/>
              </w:rPr>
            </w:pPr>
            <w:r w:rsidRPr="00915B33">
              <w:rPr>
                <w:rFonts w:ascii="Times New Roman" w:eastAsia="Times New Roman" w:hAnsi="Times New Roman" w:cs="Times New Roman"/>
                <w:b/>
                <w:bCs/>
                <w:color w:val="000000" w:themeColor="text1"/>
                <w:lang w:eastAsia="fr-FR"/>
              </w:rPr>
              <w:t>100</w:t>
            </w:r>
          </w:p>
        </w:tc>
        <w:tc>
          <w:tcPr>
            <w:cnfStyle w:val="000010000000" w:firstRow="0" w:lastRow="0" w:firstColumn="0" w:lastColumn="0" w:oddVBand="1" w:evenVBand="0" w:oddHBand="0" w:evenHBand="0" w:firstRowFirstColumn="0" w:firstRowLastColumn="0" w:lastRowFirstColumn="0" w:lastRowLastColumn="0"/>
            <w:tcW w:w="1812" w:type="dxa"/>
            <w:vAlign w:val="center"/>
          </w:tcPr>
          <w:p w14:paraId="7675827C" w14:textId="77777777" w:rsidR="00F27423" w:rsidRPr="00915B33" w:rsidRDefault="00F27423" w:rsidP="004E231F">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b/>
                <w:bCs/>
                <w:color w:val="000000" w:themeColor="text1"/>
                <w:lang w:eastAsia="fr-FR"/>
              </w:rPr>
              <w:t>0,009</w:t>
            </w:r>
          </w:p>
        </w:tc>
      </w:tr>
    </w:tbl>
    <w:p w14:paraId="67777595" w14:textId="77777777" w:rsidR="00F27423" w:rsidRPr="00915B33" w:rsidRDefault="00F27423">
      <w:pPr>
        <w:jc w:val="both"/>
        <w:rPr>
          <w:rFonts w:ascii="Times New Roman" w:hAnsi="Times New Roman" w:cs="Times New Roman"/>
          <w:color w:val="000000" w:themeColor="text1"/>
        </w:rPr>
      </w:pPr>
      <w:r w:rsidRPr="00915B33">
        <w:rPr>
          <w:rFonts w:ascii="Times New Roman" w:hAnsi="Times New Roman" w:cs="Times New Roman"/>
          <w:color w:val="000000" w:themeColor="text1"/>
        </w:rPr>
        <w:t>(Source, Perspective monde</w:t>
      </w:r>
      <w:r w:rsidR="006413F8" w:rsidRPr="00915B33">
        <w:rPr>
          <w:rStyle w:val="Appelnotedebasdep"/>
          <w:rFonts w:ascii="Times New Roman" w:hAnsi="Times New Roman" w:cs="Times New Roman"/>
          <w:color w:val="000000" w:themeColor="text1"/>
        </w:rPr>
        <w:footnoteReference w:id="6"/>
      </w:r>
      <w:r w:rsidRPr="00915B33">
        <w:rPr>
          <w:rFonts w:ascii="Times New Roman" w:hAnsi="Times New Roman" w:cs="Times New Roman"/>
          <w:color w:val="000000" w:themeColor="text1"/>
        </w:rPr>
        <w:t>)</w:t>
      </w:r>
    </w:p>
    <w:p w14:paraId="6CE6CAC4" w14:textId="77777777" w:rsidR="00F27423" w:rsidRPr="00915B33" w:rsidRDefault="00F27423">
      <w:pPr>
        <w:jc w:val="both"/>
        <w:rPr>
          <w:rFonts w:ascii="Times New Roman" w:hAnsi="Times New Roman" w:cs="Times New Roman"/>
          <w:color w:val="000000" w:themeColor="text1"/>
        </w:rPr>
      </w:pPr>
    </w:p>
    <w:p w14:paraId="6CFDA1C9" w14:textId="0C7C29A8" w:rsidR="00F27423" w:rsidRPr="00915B33" w:rsidRDefault="00F27423" w:rsidP="00BC2557">
      <w:pPr>
        <w:pStyle w:val="Grandtitre"/>
        <w:outlineLvl w:val="0"/>
      </w:pPr>
      <w:bookmarkStart w:id="20" w:name="_Toc489388296"/>
      <w:bookmarkStart w:id="21" w:name="_Toc157935468"/>
      <w:r w:rsidRPr="00915B33">
        <w:t>Les données d’activités</w:t>
      </w:r>
      <w:bookmarkEnd w:id="20"/>
      <w:bookmarkEnd w:id="21"/>
    </w:p>
    <w:p w14:paraId="59347B1A" w14:textId="59D785D9" w:rsidR="00F27423" w:rsidRPr="00915B33" w:rsidRDefault="00F27423" w:rsidP="00BC2557">
      <w:pPr>
        <w:pStyle w:val="Sous-titre"/>
        <w:numPr>
          <w:ilvl w:val="0"/>
          <w:numId w:val="27"/>
        </w:numPr>
        <w:outlineLvl w:val="1"/>
      </w:pPr>
      <w:bookmarkStart w:id="22" w:name="_Toc489388297"/>
      <w:bookmarkStart w:id="23" w:name="_Toc157935469"/>
      <w:r w:rsidRPr="00915B33">
        <w:t>2A L’industrie minérale</w:t>
      </w:r>
      <w:bookmarkEnd w:id="22"/>
      <w:bookmarkEnd w:id="23"/>
    </w:p>
    <w:p w14:paraId="4D63819E" w14:textId="36BC4935" w:rsidR="00F27423" w:rsidRPr="00915B33" w:rsidRDefault="004E011C" w:rsidP="005D1BB6">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w:t>
      </w:r>
      <w:r w:rsidR="00F27423" w:rsidRPr="00915B33">
        <w:rPr>
          <w:rFonts w:ascii="Times New Roman" w:hAnsi="Times New Roman" w:cs="Times New Roman"/>
          <w:color w:val="000000" w:themeColor="text1"/>
        </w:rPr>
        <w:t>a</w:t>
      </w:r>
      <w:r w:rsidR="005D1BB6" w:rsidRPr="00915B33">
        <w:rPr>
          <w:rFonts w:ascii="Times New Roman" w:hAnsi="Times New Roman" w:cs="Times New Roman"/>
          <w:color w:val="000000" w:themeColor="text1"/>
        </w:rPr>
        <w:t xml:space="preserve"> </w:t>
      </w:r>
      <w:r w:rsidR="00F27423" w:rsidRPr="00915B33">
        <w:rPr>
          <w:rFonts w:ascii="Times New Roman" w:hAnsi="Times New Roman" w:cs="Times New Roman"/>
          <w:color w:val="000000" w:themeColor="text1"/>
        </w:rPr>
        <w:t>nomenclature</w:t>
      </w:r>
      <w:r w:rsidRPr="00915B33">
        <w:rPr>
          <w:rFonts w:ascii="Times New Roman" w:hAnsi="Times New Roman" w:cs="Times New Roman"/>
          <w:color w:val="000000" w:themeColor="text1"/>
        </w:rPr>
        <w:t xml:space="preserve"> fournie </w:t>
      </w:r>
      <w:r w:rsidR="00F27423" w:rsidRPr="00915B33">
        <w:rPr>
          <w:rFonts w:ascii="Times New Roman" w:hAnsi="Times New Roman" w:cs="Times New Roman"/>
          <w:color w:val="000000" w:themeColor="text1"/>
        </w:rPr>
        <w:t xml:space="preserve">par les </w:t>
      </w:r>
      <w:r w:rsidR="00F27423" w:rsidRPr="00915B33">
        <w:rPr>
          <w:rFonts w:ascii="Times New Roman" w:hAnsi="Times New Roman" w:cs="Times New Roman"/>
          <w:i/>
          <w:color w:val="000000" w:themeColor="text1"/>
        </w:rPr>
        <w:t>bonnes pratiques du GIEC</w:t>
      </w:r>
      <w:r w:rsidR="00F27423" w:rsidRPr="00915B33">
        <w:rPr>
          <w:rFonts w:ascii="Times New Roman" w:hAnsi="Times New Roman" w:cs="Times New Roman"/>
          <w:color w:val="000000" w:themeColor="text1"/>
        </w:rPr>
        <w:t xml:space="preserve">, </w:t>
      </w:r>
      <w:r w:rsidRPr="00915B33">
        <w:rPr>
          <w:rFonts w:ascii="Times New Roman" w:hAnsi="Times New Roman" w:cs="Times New Roman"/>
          <w:color w:val="000000" w:themeColor="text1"/>
        </w:rPr>
        <w:t xml:space="preserve">subdivise </w:t>
      </w:r>
      <w:r w:rsidR="00F27423" w:rsidRPr="00915B33">
        <w:rPr>
          <w:rFonts w:ascii="Times New Roman" w:hAnsi="Times New Roman" w:cs="Times New Roman"/>
          <w:color w:val="000000" w:themeColor="text1"/>
        </w:rPr>
        <w:t xml:space="preserve">l’industrie minérale </w:t>
      </w:r>
      <w:r w:rsidRPr="00915B33">
        <w:rPr>
          <w:rFonts w:ascii="Times New Roman" w:hAnsi="Times New Roman" w:cs="Times New Roman"/>
          <w:color w:val="000000" w:themeColor="text1"/>
        </w:rPr>
        <w:t xml:space="preserve">en </w:t>
      </w:r>
      <w:r w:rsidR="00F27423" w:rsidRPr="00915B33">
        <w:rPr>
          <w:rFonts w:ascii="Times New Roman" w:hAnsi="Times New Roman" w:cs="Times New Roman"/>
          <w:color w:val="000000" w:themeColor="text1"/>
        </w:rPr>
        <w:t xml:space="preserve">cinq sous-catégories. </w:t>
      </w:r>
      <w:r w:rsidR="004306DB" w:rsidRPr="00915B33">
        <w:rPr>
          <w:rFonts w:ascii="Times New Roman" w:hAnsi="Times New Roman" w:cs="Times New Roman"/>
          <w:color w:val="000000" w:themeColor="text1"/>
        </w:rPr>
        <w:t xml:space="preserve">Le </w:t>
      </w:r>
      <w:r w:rsidR="00F27423" w:rsidRPr="00915B33">
        <w:rPr>
          <w:rFonts w:ascii="Times New Roman" w:hAnsi="Times New Roman" w:cs="Times New Roman"/>
          <w:color w:val="000000" w:themeColor="text1"/>
        </w:rPr>
        <w:t xml:space="preserve">tableau 5 ci-après, </w:t>
      </w:r>
      <w:r w:rsidR="004306DB" w:rsidRPr="00915B33">
        <w:rPr>
          <w:rFonts w:ascii="Times New Roman" w:hAnsi="Times New Roman" w:cs="Times New Roman"/>
          <w:color w:val="000000" w:themeColor="text1"/>
        </w:rPr>
        <w:t xml:space="preserve">permet de noter que </w:t>
      </w:r>
      <w:r w:rsidR="00F27423" w:rsidRPr="00915B33">
        <w:rPr>
          <w:rFonts w:ascii="Times New Roman" w:hAnsi="Times New Roman" w:cs="Times New Roman"/>
          <w:color w:val="000000" w:themeColor="text1"/>
        </w:rPr>
        <w:t>seule la sous-catégorie 2A1</w:t>
      </w:r>
      <w:r w:rsidR="00020862" w:rsidRPr="00915B33">
        <w:rPr>
          <w:rFonts w:ascii="Times New Roman" w:hAnsi="Times New Roman" w:cs="Times New Roman"/>
          <w:color w:val="000000" w:themeColor="text1"/>
        </w:rPr>
        <w:t>,</w:t>
      </w:r>
      <w:r w:rsidR="00F27423" w:rsidRPr="00915B33">
        <w:rPr>
          <w:rFonts w:ascii="Times New Roman" w:hAnsi="Times New Roman" w:cs="Times New Roman"/>
          <w:color w:val="000000" w:themeColor="text1"/>
        </w:rPr>
        <w:t xml:space="preserve"> correspondant à la production de ciment</w:t>
      </w:r>
      <w:r w:rsidR="004306DB" w:rsidRPr="00915B33">
        <w:rPr>
          <w:rFonts w:ascii="Times New Roman" w:hAnsi="Times New Roman" w:cs="Times New Roman"/>
          <w:color w:val="000000" w:themeColor="text1"/>
        </w:rPr>
        <w:t xml:space="preserve"> et de chaux</w:t>
      </w:r>
      <w:r w:rsidR="00020862" w:rsidRPr="00915B33">
        <w:rPr>
          <w:rFonts w:ascii="Times New Roman" w:hAnsi="Times New Roman" w:cs="Times New Roman"/>
          <w:color w:val="000000" w:themeColor="text1"/>
        </w:rPr>
        <w:t>,</w:t>
      </w:r>
      <w:r w:rsidR="00C75CAC" w:rsidRPr="00915B33">
        <w:rPr>
          <w:rFonts w:ascii="Times New Roman" w:hAnsi="Times New Roman" w:cs="Times New Roman"/>
          <w:color w:val="000000" w:themeColor="text1"/>
        </w:rPr>
        <w:t xml:space="preserve"> </w:t>
      </w:r>
      <w:r w:rsidR="004306DB" w:rsidRPr="00915B33">
        <w:rPr>
          <w:rFonts w:ascii="Times New Roman" w:hAnsi="Times New Roman" w:cs="Times New Roman"/>
          <w:color w:val="000000" w:themeColor="text1"/>
        </w:rPr>
        <w:t>est</w:t>
      </w:r>
      <w:r w:rsidR="00F27423" w:rsidRPr="00915B33">
        <w:rPr>
          <w:rFonts w:ascii="Times New Roman" w:hAnsi="Times New Roman" w:cs="Times New Roman"/>
          <w:color w:val="000000" w:themeColor="text1"/>
        </w:rPr>
        <w:t xml:space="preserve"> présente en Mauritanie. Il convient aussi de mentionner l’utilisation de carbonate, mais dans des proportions jugées très négligeables.</w:t>
      </w:r>
      <w:r w:rsidR="00C75CAC" w:rsidRPr="00915B33">
        <w:rPr>
          <w:rFonts w:ascii="Times New Roman" w:hAnsi="Times New Roman" w:cs="Times New Roman"/>
          <w:color w:val="000000" w:themeColor="text1"/>
        </w:rPr>
        <w:t xml:space="preserve"> </w:t>
      </w:r>
      <w:r w:rsidR="0065704E" w:rsidRPr="00915B33">
        <w:rPr>
          <w:rFonts w:ascii="Times New Roman" w:hAnsi="Times New Roman" w:cs="Times New Roman"/>
          <w:color w:val="000000" w:themeColor="text1"/>
        </w:rPr>
        <w:t>En effet, depuis 2015, une unité de production de chaux détenue par la société Carmeuse Trading &amp; Service Sarl</w:t>
      </w:r>
      <w:r w:rsidR="0065704E" w:rsidRPr="00915B33">
        <w:rPr>
          <w:rStyle w:val="Appelnotedebasdep"/>
          <w:rFonts w:ascii="Times New Roman" w:hAnsi="Times New Roman" w:cs="Times New Roman"/>
          <w:color w:val="000000" w:themeColor="text1"/>
        </w:rPr>
        <w:footnoteReference w:id="7"/>
      </w:r>
      <w:r w:rsidR="0065704E" w:rsidRPr="00915B33">
        <w:rPr>
          <w:rFonts w:ascii="Times New Roman" w:hAnsi="Times New Roman" w:cs="Times New Roman"/>
          <w:color w:val="000000" w:themeColor="text1"/>
        </w:rPr>
        <w:t>est opérationnelle, avec une production annuelle de 2000 tonnes.</w:t>
      </w:r>
      <w:r w:rsidR="0065704E" w:rsidRPr="00915B33">
        <w:rPr>
          <w:rStyle w:val="Appelnotedebasdep"/>
          <w:rFonts w:ascii="Times New Roman" w:hAnsi="Times New Roman" w:cs="Times New Roman"/>
          <w:color w:val="000000" w:themeColor="text1"/>
        </w:rPr>
        <w:footnoteReference w:id="8"/>
      </w:r>
    </w:p>
    <w:p w14:paraId="7D7056D2" w14:textId="7EAB2CCA" w:rsidR="00C3667F" w:rsidRPr="00915B33" w:rsidRDefault="002203F3" w:rsidP="005D1BB6">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La production de ciment en </w:t>
      </w:r>
      <w:r w:rsidR="00C3667F" w:rsidRPr="00915B33">
        <w:rPr>
          <w:rFonts w:ascii="Times New Roman" w:hAnsi="Times New Roman" w:cs="Times New Roman"/>
          <w:color w:val="000000" w:themeColor="text1"/>
        </w:rPr>
        <w:t>Mauritanie</w:t>
      </w:r>
      <w:r w:rsidRPr="00915B33">
        <w:rPr>
          <w:rFonts w:ascii="Times New Roman" w:hAnsi="Times New Roman" w:cs="Times New Roman"/>
          <w:color w:val="000000" w:themeColor="text1"/>
        </w:rPr>
        <w:t xml:space="preserve"> provient des activités d’unités industrielles localisées dans les zones </w:t>
      </w:r>
      <w:r w:rsidR="00624F58" w:rsidRPr="00915B33">
        <w:rPr>
          <w:rFonts w:ascii="Times New Roman" w:hAnsi="Times New Roman" w:cs="Times New Roman"/>
          <w:color w:val="000000" w:themeColor="text1"/>
        </w:rPr>
        <w:t>portuaires</w:t>
      </w:r>
      <w:r w:rsidRPr="00915B33">
        <w:rPr>
          <w:rFonts w:ascii="Times New Roman" w:hAnsi="Times New Roman" w:cs="Times New Roman"/>
          <w:color w:val="000000" w:themeColor="text1"/>
        </w:rPr>
        <w:t xml:space="preserve"> de Nouakchott et de Nouadhibou.</w:t>
      </w:r>
      <w:r w:rsidR="00640C9F" w:rsidRPr="00915B33">
        <w:rPr>
          <w:rFonts w:ascii="Times New Roman" w:hAnsi="Times New Roman" w:cs="Times New Roman"/>
          <w:color w:val="000000" w:themeColor="text1"/>
        </w:rPr>
        <w:t xml:space="preserve"> Cependant, l’essentiel du processus de production du ciment commercialisé par c</w:t>
      </w:r>
      <w:r w:rsidRPr="00915B33">
        <w:rPr>
          <w:rFonts w:ascii="Times New Roman" w:hAnsi="Times New Roman" w:cs="Times New Roman"/>
          <w:color w:val="000000" w:themeColor="text1"/>
        </w:rPr>
        <w:t xml:space="preserve">es </w:t>
      </w:r>
      <w:r w:rsidR="00640C9F" w:rsidRPr="00915B33">
        <w:rPr>
          <w:rFonts w:ascii="Times New Roman" w:hAnsi="Times New Roman" w:cs="Times New Roman"/>
          <w:color w:val="000000" w:themeColor="text1"/>
        </w:rPr>
        <w:t xml:space="preserve">différents acteurs est réalisé à l’étranger. En effet, ces </w:t>
      </w:r>
      <w:r w:rsidRPr="00915B33">
        <w:rPr>
          <w:rFonts w:ascii="Times New Roman" w:hAnsi="Times New Roman" w:cs="Times New Roman"/>
          <w:color w:val="000000" w:themeColor="text1"/>
        </w:rPr>
        <w:t>unités s’</w:t>
      </w:r>
      <w:r w:rsidR="00624F58" w:rsidRPr="00915B33">
        <w:rPr>
          <w:rFonts w:ascii="Times New Roman" w:hAnsi="Times New Roman" w:cs="Times New Roman"/>
          <w:color w:val="000000" w:themeColor="text1"/>
        </w:rPr>
        <w:t>adonnent</w:t>
      </w:r>
      <w:r w:rsidRPr="00915B33">
        <w:rPr>
          <w:rFonts w:ascii="Times New Roman" w:hAnsi="Times New Roman" w:cs="Times New Roman"/>
          <w:color w:val="000000" w:themeColor="text1"/>
        </w:rPr>
        <w:t xml:space="preserve"> à </w:t>
      </w:r>
      <w:r w:rsidR="00C3667F" w:rsidRPr="00915B33">
        <w:rPr>
          <w:rFonts w:ascii="Times New Roman" w:hAnsi="Times New Roman" w:cs="Times New Roman"/>
          <w:color w:val="000000" w:themeColor="text1"/>
        </w:rPr>
        <w:t xml:space="preserve">une production </w:t>
      </w:r>
      <w:r w:rsidR="00400A12" w:rsidRPr="00915B33">
        <w:rPr>
          <w:rFonts w:ascii="Times New Roman" w:hAnsi="Times New Roman" w:cs="Times New Roman"/>
          <w:color w:val="000000" w:themeColor="text1"/>
        </w:rPr>
        <w:t>semi-finie</w:t>
      </w:r>
      <w:r w:rsidR="00640C9F" w:rsidRPr="00915B33">
        <w:rPr>
          <w:rFonts w:ascii="Times New Roman" w:hAnsi="Times New Roman" w:cs="Times New Roman"/>
          <w:color w:val="000000" w:themeColor="text1"/>
        </w:rPr>
        <w:t xml:space="preserve"> consistant sur principalement à ajout des produits d’appoint et à la mise en sac.</w:t>
      </w:r>
    </w:p>
    <w:p w14:paraId="59BFC0FB" w14:textId="77777777" w:rsidR="00F27423" w:rsidRPr="00915B33" w:rsidRDefault="00F27423" w:rsidP="00A32158">
      <w:pPr>
        <w:jc w:val="center"/>
        <w:rPr>
          <w:rFonts w:ascii="Times New Roman" w:eastAsia="Times New Roman" w:hAnsi="Times New Roman" w:cs="Times New Roman"/>
          <w:b/>
          <w:color w:val="000000" w:themeColor="text1"/>
          <w:lang w:eastAsia="fr-FR"/>
        </w:rPr>
      </w:pPr>
      <w:r w:rsidRPr="00915B33">
        <w:rPr>
          <w:rFonts w:ascii="Times New Roman" w:hAnsi="Times New Roman" w:cs="Times New Roman"/>
          <w:b/>
          <w:color w:val="000000" w:themeColor="text1"/>
        </w:rPr>
        <w:t>Tableau </w:t>
      </w:r>
      <w:r w:rsidR="00023122" w:rsidRPr="00915B33">
        <w:rPr>
          <w:rFonts w:ascii="Times New Roman" w:hAnsi="Times New Roman" w:cs="Times New Roman"/>
          <w:b/>
          <w:color w:val="000000" w:themeColor="text1"/>
        </w:rPr>
        <w:t>4</w:t>
      </w:r>
      <w:r w:rsidRPr="00915B33">
        <w:rPr>
          <w:rFonts w:ascii="Times New Roman" w:hAnsi="Times New Roman" w:cs="Times New Roman"/>
          <w:b/>
          <w:color w:val="000000" w:themeColor="text1"/>
        </w:rPr>
        <w:t xml:space="preserve"> : </w:t>
      </w:r>
      <w:r w:rsidRPr="00915B33">
        <w:rPr>
          <w:rFonts w:ascii="Times New Roman" w:hAnsi="Times New Roman" w:cs="Times New Roman"/>
          <w:color w:val="000000" w:themeColor="text1"/>
        </w:rPr>
        <w:t>Présence en Mauritanie des sous-catégories de l’industrie minérale</w:t>
      </w:r>
    </w:p>
    <w:tbl>
      <w:tblPr>
        <w:tblStyle w:val="TableauListe4-Accentuation11"/>
        <w:tblW w:w="0" w:type="auto"/>
        <w:tblLayout w:type="fixed"/>
        <w:tblLook w:val="0000" w:firstRow="0" w:lastRow="0" w:firstColumn="0" w:lastColumn="0" w:noHBand="0" w:noVBand="0"/>
      </w:tblPr>
      <w:tblGrid>
        <w:gridCol w:w="4692"/>
        <w:gridCol w:w="4536"/>
      </w:tblGrid>
      <w:tr w:rsidR="00915B33" w:rsidRPr="00915B33" w14:paraId="439CA45E" w14:textId="77777777" w:rsidTr="00CC002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228" w:type="dxa"/>
            <w:gridSpan w:val="2"/>
          </w:tcPr>
          <w:p w14:paraId="2C5B3F6B" w14:textId="77777777" w:rsidR="00F27423" w:rsidRPr="00915B33" w:rsidRDefault="00F27423" w:rsidP="00A32158">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Catégorie : 2A Industrie minérale</w:t>
            </w:r>
          </w:p>
        </w:tc>
      </w:tr>
      <w:tr w:rsidR="00915B33" w:rsidRPr="00915B33" w14:paraId="640DDDEC" w14:textId="77777777" w:rsidTr="00CC002F">
        <w:trPr>
          <w:trHeight w:val="300"/>
        </w:trPr>
        <w:tc>
          <w:tcPr>
            <w:cnfStyle w:val="000010000000" w:firstRow="0" w:lastRow="0" w:firstColumn="0" w:lastColumn="0" w:oddVBand="1" w:evenVBand="0" w:oddHBand="0" w:evenHBand="0" w:firstRowFirstColumn="0" w:firstRowLastColumn="0" w:lastRowFirstColumn="0" w:lastRowLastColumn="0"/>
            <w:tcW w:w="4692" w:type="dxa"/>
          </w:tcPr>
          <w:p w14:paraId="6B5A8256" w14:textId="77777777" w:rsidR="00F27423" w:rsidRPr="00915B33" w:rsidRDefault="00F27423" w:rsidP="00A32158">
            <w:pPr>
              <w:spacing w:line="240" w:lineRule="auto"/>
              <w:jc w:val="center"/>
              <w:rPr>
                <w:rFonts w:ascii="Times New Roman" w:eastAsia="Times New Roman" w:hAnsi="Times New Roman" w:cs="Times New Roman"/>
                <w:b/>
                <w:color w:val="000000" w:themeColor="text1"/>
                <w:lang w:eastAsia="fr-FR"/>
              </w:rPr>
            </w:pPr>
          </w:p>
        </w:tc>
        <w:tc>
          <w:tcPr>
            <w:tcW w:w="4536" w:type="dxa"/>
          </w:tcPr>
          <w:p w14:paraId="0A47156E" w14:textId="77777777" w:rsidR="00F27423" w:rsidRPr="00915B33" w:rsidRDefault="00F27423" w:rsidP="00A321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lang w:eastAsia="fr-FR"/>
              </w:rPr>
            </w:pPr>
          </w:p>
        </w:tc>
      </w:tr>
      <w:tr w:rsidR="00915B33" w:rsidRPr="00915B33" w14:paraId="73423249" w14:textId="77777777" w:rsidTr="00CC002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692" w:type="dxa"/>
          </w:tcPr>
          <w:p w14:paraId="03079316" w14:textId="77777777" w:rsidR="00F27423" w:rsidRPr="00915B33" w:rsidRDefault="00F27423" w:rsidP="00A32158">
            <w:pPr>
              <w:spacing w:line="240" w:lineRule="auto"/>
              <w:jc w:val="center"/>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Sous-catégories</w:t>
            </w:r>
          </w:p>
        </w:tc>
        <w:tc>
          <w:tcPr>
            <w:tcW w:w="4536" w:type="dxa"/>
          </w:tcPr>
          <w:p w14:paraId="54A25921" w14:textId="77777777" w:rsidR="00F27423" w:rsidRPr="00915B33" w:rsidRDefault="00F27423" w:rsidP="00A321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Présence en Mauritanie</w:t>
            </w:r>
          </w:p>
        </w:tc>
      </w:tr>
      <w:tr w:rsidR="00915B33" w:rsidRPr="00915B33" w14:paraId="7DC53B28" w14:textId="77777777" w:rsidTr="00CC002F">
        <w:trPr>
          <w:trHeight w:val="300"/>
        </w:trPr>
        <w:tc>
          <w:tcPr>
            <w:cnfStyle w:val="000010000000" w:firstRow="0" w:lastRow="0" w:firstColumn="0" w:lastColumn="0" w:oddVBand="1" w:evenVBand="0" w:oddHBand="0" w:evenHBand="0" w:firstRowFirstColumn="0" w:firstRowLastColumn="0" w:lastRowFirstColumn="0" w:lastRowLastColumn="0"/>
            <w:tcW w:w="4692" w:type="dxa"/>
          </w:tcPr>
          <w:p w14:paraId="4D900F8F" w14:textId="77777777" w:rsidR="00F27423" w:rsidRPr="00915B33" w:rsidRDefault="00F27423" w:rsidP="006551D1">
            <w:pPr>
              <w:spacing w:line="240" w:lineRule="auto"/>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2A1. Production de ciment</w:t>
            </w:r>
          </w:p>
        </w:tc>
        <w:tc>
          <w:tcPr>
            <w:tcW w:w="4536" w:type="dxa"/>
          </w:tcPr>
          <w:p w14:paraId="2AB1B04D" w14:textId="77777777" w:rsidR="00F27423" w:rsidRPr="00915B33" w:rsidRDefault="00F27423" w:rsidP="00A321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Oui</w:t>
            </w:r>
          </w:p>
        </w:tc>
      </w:tr>
      <w:tr w:rsidR="00915B33" w:rsidRPr="00915B33" w14:paraId="0BE22BD4" w14:textId="77777777" w:rsidTr="00CC002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692" w:type="dxa"/>
          </w:tcPr>
          <w:p w14:paraId="127B6EC9" w14:textId="77777777" w:rsidR="00F27423" w:rsidRPr="00915B33" w:rsidRDefault="00F27423" w:rsidP="006551D1">
            <w:pPr>
              <w:spacing w:line="240" w:lineRule="auto"/>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2A.2 Production de chaux</w:t>
            </w:r>
          </w:p>
        </w:tc>
        <w:tc>
          <w:tcPr>
            <w:tcW w:w="4536" w:type="dxa"/>
          </w:tcPr>
          <w:p w14:paraId="2455D53C" w14:textId="77777777" w:rsidR="00F27423" w:rsidRPr="00915B33" w:rsidRDefault="00C3667F" w:rsidP="00A321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Oui</w:t>
            </w:r>
          </w:p>
        </w:tc>
      </w:tr>
      <w:tr w:rsidR="00915B33" w:rsidRPr="00915B33" w14:paraId="6C371C42" w14:textId="77777777" w:rsidTr="00CC002F">
        <w:trPr>
          <w:trHeight w:val="300"/>
        </w:trPr>
        <w:tc>
          <w:tcPr>
            <w:cnfStyle w:val="000010000000" w:firstRow="0" w:lastRow="0" w:firstColumn="0" w:lastColumn="0" w:oddVBand="1" w:evenVBand="0" w:oddHBand="0" w:evenHBand="0" w:firstRowFirstColumn="0" w:firstRowLastColumn="0" w:lastRowFirstColumn="0" w:lastRowLastColumn="0"/>
            <w:tcW w:w="4692" w:type="dxa"/>
          </w:tcPr>
          <w:p w14:paraId="7EB80CFF" w14:textId="77777777" w:rsidR="00F27423" w:rsidRPr="00915B33" w:rsidRDefault="00F27423" w:rsidP="006551D1">
            <w:pPr>
              <w:spacing w:line="240" w:lineRule="auto"/>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2A.3 Production de verre</w:t>
            </w:r>
          </w:p>
        </w:tc>
        <w:tc>
          <w:tcPr>
            <w:tcW w:w="4536" w:type="dxa"/>
          </w:tcPr>
          <w:p w14:paraId="75D7A08C" w14:textId="77777777" w:rsidR="00F27423" w:rsidRPr="00915B33" w:rsidRDefault="00F27423" w:rsidP="00A321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31A38FEB" w14:textId="77777777" w:rsidTr="00CC002F">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692" w:type="dxa"/>
          </w:tcPr>
          <w:p w14:paraId="1944047E" w14:textId="77777777" w:rsidR="00F27423" w:rsidRPr="00915B33" w:rsidRDefault="00F27423" w:rsidP="006551D1">
            <w:pPr>
              <w:spacing w:line="240" w:lineRule="auto"/>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2A.4 Autres utilisations de carbonate</w:t>
            </w:r>
          </w:p>
        </w:tc>
        <w:tc>
          <w:tcPr>
            <w:tcW w:w="4536" w:type="dxa"/>
          </w:tcPr>
          <w:p w14:paraId="616D1AA1" w14:textId="77777777" w:rsidR="00F27423" w:rsidRPr="00915B33" w:rsidRDefault="00F27423" w:rsidP="00A321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52D4C98E" w14:textId="77777777" w:rsidTr="00CC002F">
        <w:trPr>
          <w:trHeight w:val="315"/>
        </w:trPr>
        <w:tc>
          <w:tcPr>
            <w:cnfStyle w:val="000010000000" w:firstRow="0" w:lastRow="0" w:firstColumn="0" w:lastColumn="0" w:oddVBand="1" w:evenVBand="0" w:oddHBand="0" w:evenHBand="0" w:firstRowFirstColumn="0" w:firstRowLastColumn="0" w:lastRowFirstColumn="0" w:lastRowLastColumn="0"/>
            <w:tcW w:w="4692" w:type="dxa"/>
          </w:tcPr>
          <w:p w14:paraId="6AD506C1" w14:textId="77777777" w:rsidR="00F27423" w:rsidRPr="00915B33" w:rsidRDefault="00F27423" w:rsidP="006551D1">
            <w:pPr>
              <w:spacing w:line="240" w:lineRule="auto"/>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2A.5 Autres (précisez)</w:t>
            </w:r>
          </w:p>
        </w:tc>
        <w:tc>
          <w:tcPr>
            <w:tcW w:w="4536" w:type="dxa"/>
          </w:tcPr>
          <w:p w14:paraId="097118E5" w14:textId="77777777" w:rsidR="00F27423" w:rsidRPr="00915B33" w:rsidRDefault="00F27423" w:rsidP="00A321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bl>
    <w:p w14:paraId="4845278C" w14:textId="77777777" w:rsidR="00F27423" w:rsidRPr="00915B33" w:rsidRDefault="00F27423">
      <w:pPr>
        <w:jc w:val="both"/>
        <w:rPr>
          <w:rFonts w:ascii="Times New Roman" w:hAnsi="Times New Roman" w:cs="Times New Roman"/>
          <w:b/>
          <w:color w:val="000000" w:themeColor="text1"/>
        </w:rPr>
      </w:pPr>
    </w:p>
    <w:p w14:paraId="200B1355" w14:textId="71B85EBB" w:rsidR="00F27423" w:rsidRPr="00915B33" w:rsidRDefault="00F27423" w:rsidP="00BC2557">
      <w:pPr>
        <w:pStyle w:val="Sous-titre"/>
        <w:numPr>
          <w:ilvl w:val="0"/>
          <w:numId w:val="27"/>
        </w:numPr>
        <w:outlineLvl w:val="1"/>
      </w:pPr>
      <w:bookmarkStart w:id="24" w:name="_Toc489388298"/>
      <w:bookmarkStart w:id="25" w:name="_Toc157935470"/>
      <w:r w:rsidRPr="00915B33">
        <w:t>2A1 L’industrie du ciment</w:t>
      </w:r>
      <w:bookmarkEnd w:id="24"/>
      <w:bookmarkEnd w:id="25"/>
    </w:p>
    <w:p w14:paraId="63F165D0" w14:textId="7CFE6BEF" w:rsidR="00840632" w:rsidRPr="00915B33" w:rsidRDefault="00840632" w:rsidP="005D1BB6">
      <w:pPr>
        <w:spacing w:line="360" w:lineRule="auto"/>
        <w:jc w:val="both"/>
        <w:rPr>
          <w:rFonts w:ascii="Times New Roman" w:hAnsi="Times New Roman" w:cs="Times New Roman"/>
          <w:color w:val="000000" w:themeColor="text1"/>
          <w:lang w:val="fr-CA"/>
        </w:rPr>
      </w:pPr>
      <w:r w:rsidRPr="00915B33">
        <w:rPr>
          <w:rFonts w:ascii="Times New Roman" w:hAnsi="Times New Roman" w:cs="Times New Roman"/>
          <w:color w:val="000000" w:themeColor="text1"/>
          <w:lang w:val="fr-CA"/>
        </w:rPr>
        <w:t>Selon le Centre for Affordable</w:t>
      </w:r>
      <w:r w:rsidR="00624F58">
        <w:rPr>
          <w:rFonts w:ascii="Times New Roman" w:hAnsi="Times New Roman" w:cs="Times New Roman"/>
          <w:color w:val="000000" w:themeColor="text1"/>
          <w:lang w:val="fr-CA"/>
        </w:rPr>
        <w:t xml:space="preserve"> </w:t>
      </w:r>
      <w:r w:rsidRPr="00915B33">
        <w:rPr>
          <w:rFonts w:ascii="Times New Roman" w:hAnsi="Times New Roman" w:cs="Times New Roman"/>
          <w:color w:val="000000" w:themeColor="text1"/>
          <w:lang w:val="fr-CA"/>
        </w:rPr>
        <w:t>Housing Finance in Africa (2023)</w:t>
      </w:r>
      <w:r w:rsidRPr="00915B33">
        <w:rPr>
          <w:rStyle w:val="Appelnotedebasdep"/>
          <w:rFonts w:ascii="Times New Roman" w:hAnsi="Times New Roman" w:cs="Times New Roman"/>
          <w:color w:val="000000" w:themeColor="text1"/>
          <w:lang w:val="en-CA"/>
        </w:rPr>
        <w:footnoteReference w:id="9"/>
      </w:r>
      <w:r w:rsidR="009E6B8A" w:rsidRPr="00915B33">
        <w:rPr>
          <w:rFonts w:ascii="Times New Roman" w:hAnsi="Times New Roman" w:cs="Times New Roman"/>
          <w:color w:val="000000" w:themeColor="text1"/>
          <w:lang w:val="fr-CA"/>
        </w:rPr>
        <w:t>, 80 % de la population mauritanienne est propriétaire de son logement au niveau national. Selon la même source, l</w:t>
      </w:r>
      <w:r w:rsidR="00DE4F84" w:rsidRPr="00915B33">
        <w:rPr>
          <w:rFonts w:ascii="Times New Roman" w:hAnsi="Times New Roman" w:cs="Times New Roman"/>
          <w:color w:val="000000" w:themeColor="text1"/>
          <w:lang w:val="fr-CA"/>
        </w:rPr>
        <w:t>a population urbaine d</w:t>
      </w:r>
      <w:r w:rsidR="00046A6A">
        <w:rPr>
          <w:rFonts w:ascii="Times New Roman" w:hAnsi="Times New Roman" w:cs="Times New Roman"/>
          <w:color w:val="000000" w:themeColor="text1"/>
          <w:lang w:val="fr-CA"/>
        </w:rPr>
        <w:t>u</w:t>
      </w:r>
      <w:r w:rsidR="00DE4F84" w:rsidRPr="00915B33">
        <w:rPr>
          <w:rFonts w:ascii="Times New Roman" w:hAnsi="Times New Roman" w:cs="Times New Roman"/>
          <w:color w:val="000000" w:themeColor="text1"/>
          <w:lang w:val="fr-CA"/>
        </w:rPr>
        <w:t xml:space="preserve"> pays est estimée à </w:t>
      </w:r>
      <w:r w:rsidR="009E6B8A" w:rsidRPr="00915B33">
        <w:rPr>
          <w:rFonts w:ascii="Times New Roman" w:hAnsi="Times New Roman" w:cs="Times New Roman"/>
          <w:color w:val="000000" w:themeColor="text1"/>
          <w:lang w:val="fr-CA"/>
        </w:rPr>
        <w:t>2 680 412</w:t>
      </w:r>
      <w:r w:rsidR="00DE4F84" w:rsidRPr="00915B33">
        <w:rPr>
          <w:rFonts w:ascii="Times New Roman" w:hAnsi="Times New Roman" w:cs="Times New Roman"/>
          <w:color w:val="000000" w:themeColor="text1"/>
          <w:lang w:val="fr-CA"/>
        </w:rPr>
        <w:t xml:space="preserve">habitants dont 65% sont propriétaires et 26% locataires. Les Mauritaniens ont une préférence pour les maisons ordinaires ou standards et n’ont pas encore totalement adopté les habitations de type villa. En effet, on estime à 0,2% la part de ce type de résidences et à 0.3% les </w:t>
      </w:r>
      <w:r w:rsidR="007E31B8">
        <w:rPr>
          <w:rFonts w:ascii="Times New Roman" w:hAnsi="Times New Roman" w:cs="Times New Roman"/>
          <w:color w:val="000000" w:themeColor="text1"/>
          <w:lang w:val="fr-CA"/>
        </w:rPr>
        <w:t>b</w:t>
      </w:r>
      <w:r w:rsidR="00DE4F84" w:rsidRPr="00915B33">
        <w:rPr>
          <w:rFonts w:ascii="Times New Roman" w:hAnsi="Times New Roman" w:cs="Times New Roman"/>
          <w:color w:val="000000" w:themeColor="text1"/>
          <w:lang w:val="fr-CA"/>
        </w:rPr>
        <w:t>âtiments de type appartements.</w:t>
      </w:r>
      <w:r w:rsidR="00F97666" w:rsidRPr="00915B33">
        <w:rPr>
          <w:rFonts w:ascii="Times New Roman" w:hAnsi="Times New Roman" w:cs="Times New Roman"/>
          <w:color w:val="000000" w:themeColor="text1"/>
          <w:lang w:val="fr-CA"/>
        </w:rPr>
        <w:t xml:space="preserve"> Les constructions sont essentiellement limitées à un étage. Les immeubles de grande hauteur sont peu répandus et se limitent à des usages </w:t>
      </w:r>
      <w:r w:rsidR="00046A6A" w:rsidRPr="00915B33">
        <w:rPr>
          <w:rFonts w:ascii="Times New Roman" w:hAnsi="Times New Roman" w:cs="Times New Roman"/>
          <w:color w:val="000000" w:themeColor="text1"/>
          <w:lang w:val="fr-CA"/>
        </w:rPr>
        <w:t>administratifs</w:t>
      </w:r>
      <w:r w:rsidR="00F97666" w:rsidRPr="00915B33">
        <w:rPr>
          <w:rFonts w:ascii="Times New Roman" w:hAnsi="Times New Roman" w:cs="Times New Roman"/>
          <w:color w:val="000000" w:themeColor="text1"/>
          <w:lang w:val="fr-CA"/>
        </w:rPr>
        <w:t xml:space="preserve"> et de services bancaires.</w:t>
      </w:r>
      <w:r w:rsidR="008A196A" w:rsidRPr="00915B33">
        <w:rPr>
          <w:rFonts w:ascii="Times New Roman" w:hAnsi="Times New Roman" w:cs="Times New Roman"/>
          <w:color w:val="000000" w:themeColor="text1"/>
          <w:lang w:val="fr-CA"/>
        </w:rPr>
        <w:t xml:space="preserve"> En Mauritanie, les techniques de construction restent encore rudimentaires chez les citoyens de faibles revenus qui représentent la très grande majorité de population. </w:t>
      </w:r>
    </w:p>
    <w:p w14:paraId="3EDBD6C5" w14:textId="6B6D2161" w:rsidR="008A196A" w:rsidRPr="00915B33" w:rsidRDefault="008A196A" w:rsidP="005D1BB6">
      <w:pPr>
        <w:spacing w:line="360" w:lineRule="auto"/>
        <w:jc w:val="both"/>
        <w:rPr>
          <w:rFonts w:ascii="Times New Roman" w:hAnsi="Times New Roman" w:cs="Times New Roman"/>
          <w:color w:val="000000" w:themeColor="text1"/>
          <w:lang w:val="fr-CA"/>
        </w:rPr>
      </w:pPr>
      <w:r w:rsidRPr="00915B33">
        <w:rPr>
          <w:rFonts w:ascii="Times New Roman" w:hAnsi="Times New Roman" w:cs="Times New Roman"/>
          <w:color w:val="000000" w:themeColor="text1"/>
          <w:lang w:val="fr-CA"/>
        </w:rPr>
        <w:t>Le ciment</w:t>
      </w:r>
      <w:r w:rsidR="00046A6A">
        <w:rPr>
          <w:rFonts w:ascii="Times New Roman" w:hAnsi="Times New Roman" w:cs="Times New Roman"/>
          <w:color w:val="000000" w:themeColor="text1"/>
          <w:lang w:val="fr-CA"/>
        </w:rPr>
        <w:t xml:space="preserve"> </w:t>
      </w:r>
      <w:r w:rsidR="0066303F" w:rsidRPr="00915B33">
        <w:rPr>
          <w:rFonts w:ascii="Times New Roman" w:hAnsi="Times New Roman" w:cs="Times New Roman"/>
          <w:color w:val="000000" w:themeColor="text1"/>
          <w:lang w:val="fr-CA"/>
        </w:rPr>
        <w:t xml:space="preserve">est </w:t>
      </w:r>
      <w:r w:rsidRPr="00915B33">
        <w:rPr>
          <w:rFonts w:ascii="Times New Roman" w:hAnsi="Times New Roman" w:cs="Times New Roman"/>
          <w:color w:val="000000" w:themeColor="text1"/>
          <w:lang w:val="fr-CA"/>
        </w:rPr>
        <w:t xml:space="preserve">le matériau de construction le plus </w:t>
      </w:r>
      <w:r w:rsidR="0066303F" w:rsidRPr="00915B33">
        <w:rPr>
          <w:rFonts w:ascii="Times New Roman" w:hAnsi="Times New Roman" w:cs="Times New Roman"/>
          <w:color w:val="000000" w:themeColor="text1"/>
          <w:lang w:val="fr-CA"/>
        </w:rPr>
        <w:t>usité</w:t>
      </w:r>
      <w:r w:rsidRPr="00915B33">
        <w:rPr>
          <w:rFonts w:ascii="Times New Roman" w:hAnsi="Times New Roman" w:cs="Times New Roman"/>
          <w:color w:val="000000" w:themeColor="text1"/>
          <w:lang w:val="fr-CA"/>
        </w:rPr>
        <w:t xml:space="preserve"> dans </w:t>
      </w:r>
      <w:r w:rsidR="005955EF" w:rsidRPr="00915B33">
        <w:rPr>
          <w:rFonts w:ascii="Times New Roman" w:hAnsi="Times New Roman" w:cs="Times New Roman"/>
          <w:color w:val="000000" w:themeColor="text1"/>
          <w:lang w:val="fr-CA"/>
        </w:rPr>
        <w:t xml:space="preserve">les zones </w:t>
      </w:r>
      <w:r w:rsidR="00046A6A" w:rsidRPr="00915B33">
        <w:rPr>
          <w:rFonts w:ascii="Times New Roman" w:hAnsi="Times New Roman" w:cs="Times New Roman"/>
          <w:color w:val="000000" w:themeColor="text1"/>
          <w:lang w:val="fr-CA"/>
        </w:rPr>
        <w:t>urbaines où</w:t>
      </w:r>
      <w:r w:rsidR="0066303F" w:rsidRPr="00915B33">
        <w:rPr>
          <w:rFonts w:ascii="Times New Roman" w:hAnsi="Times New Roman" w:cs="Times New Roman"/>
          <w:color w:val="000000" w:themeColor="text1"/>
          <w:lang w:val="fr-CA"/>
        </w:rPr>
        <w:t xml:space="preserve"> </w:t>
      </w:r>
      <w:r w:rsidRPr="00915B33">
        <w:rPr>
          <w:rFonts w:ascii="Times New Roman" w:hAnsi="Times New Roman" w:cs="Times New Roman"/>
          <w:color w:val="000000" w:themeColor="text1"/>
          <w:lang w:val="fr-CA"/>
        </w:rPr>
        <w:t>70% des murs sont en ciment</w:t>
      </w:r>
      <w:r w:rsidR="005955EF" w:rsidRPr="00915B33">
        <w:rPr>
          <w:rFonts w:ascii="Times New Roman" w:hAnsi="Times New Roman" w:cs="Times New Roman"/>
          <w:color w:val="000000" w:themeColor="text1"/>
          <w:lang w:val="fr-CA"/>
        </w:rPr>
        <w:t>. C’est également le matériau qui est employé</w:t>
      </w:r>
      <w:r w:rsidRPr="00915B33">
        <w:rPr>
          <w:rFonts w:ascii="Times New Roman" w:hAnsi="Times New Roman" w:cs="Times New Roman"/>
          <w:color w:val="000000" w:themeColor="text1"/>
          <w:lang w:val="fr-CA"/>
        </w:rPr>
        <w:t xml:space="preserve"> pour 46% des revêtements de sol. </w:t>
      </w:r>
      <w:r w:rsidR="00FE2B70" w:rsidRPr="00915B33">
        <w:rPr>
          <w:rFonts w:ascii="&amp;quot" w:hAnsi="&amp;quot"/>
          <w:color w:val="000000" w:themeColor="text1"/>
        </w:rPr>
        <w:t>Selon le groupe cimentier français Vicat, la consommation annuelle de ciment en Mauritanie s'élève à plus de 700.000 tonnes et affiche une croissance moyenne de l'ordre de 7% par an</w:t>
      </w:r>
      <w:r w:rsidR="00FE2B70" w:rsidRPr="00915B33">
        <w:rPr>
          <w:rStyle w:val="Appelnotedebasdep"/>
          <w:rFonts w:ascii="&amp;quot" w:hAnsi="&amp;quot"/>
          <w:color w:val="000000" w:themeColor="text1"/>
        </w:rPr>
        <w:footnoteReference w:id="10"/>
      </w:r>
      <w:r w:rsidR="00FE2B70" w:rsidRPr="00915B33">
        <w:rPr>
          <w:rFonts w:ascii="&amp;quot" w:hAnsi="&amp;quot"/>
          <w:color w:val="000000" w:themeColor="text1"/>
        </w:rPr>
        <w:t>.</w:t>
      </w:r>
    </w:p>
    <w:p w14:paraId="12CB2739" w14:textId="77B8D529" w:rsidR="00941A08" w:rsidRPr="00915B33" w:rsidRDefault="008A196A" w:rsidP="005D1BB6">
      <w:pPr>
        <w:spacing w:line="360" w:lineRule="auto"/>
        <w:jc w:val="both"/>
        <w:rPr>
          <w:rFonts w:ascii="Times New Roman" w:hAnsi="Times New Roman" w:cs="Times New Roman"/>
          <w:color w:val="000000" w:themeColor="text1"/>
          <w:lang w:val="fr-CA"/>
        </w:rPr>
      </w:pPr>
      <w:r w:rsidRPr="00915B33">
        <w:rPr>
          <w:rFonts w:ascii="Times New Roman" w:hAnsi="Times New Roman" w:cs="Times New Roman"/>
          <w:color w:val="000000" w:themeColor="text1"/>
          <w:lang w:val="fr-CA"/>
        </w:rPr>
        <w:t>L'asphalte, le clinker, le fer, l'acier</w:t>
      </w:r>
      <w:r w:rsidR="00941A08" w:rsidRPr="00915B33">
        <w:rPr>
          <w:rFonts w:ascii="Times New Roman" w:hAnsi="Times New Roman" w:cs="Times New Roman"/>
          <w:color w:val="000000" w:themeColor="text1"/>
          <w:lang w:val="fr-CA"/>
        </w:rPr>
        <w:t>, le zinc</w:t>
      </w:r>
      <w:r w:rsidRPr="00915B33">
        <w:rPr>
          <w:rFonts w:ascii="Times New Roman" w:hAnsi="Times New Roman" w:cs="Times New Roman"/>
          <w:color w:val="000000" w:themeColor="text1"/>
          <w:lang w:val="fr-CA"/>
        </w:rPr>
        <w:t xml:space="preserve"> et la fonte pour les bâtiments sont les matériaux de construction les plus importants en</w:t>
      </w:r>
      <w:r w:rsidR="00046A6A">
        <w:rPr>
          <w:rFonts w:ascii="Times New Roman" w:hAnsi="Times New Roman" w:cs="Times New Roman"/>
          <w:color w:val="000000" w:themeColor="text1"/>
          <w:lang w:val="fr-CA"/>
        </w:rPr>
        <w:t xml:space="preserve"> </w:t>
      </w:r>
      <w:r w:rsidRPr="00915B33">
        <w:rPr>
          <w:rFonts w:ascii="Times New Roman" w:hAnsi="Times New Roman" w:cs="Times New Roman"/>
          <w:color w:val="000000" w:themeColor="text1"/>
          <w:lang w:val="fr-CA"/>
        </w:rPr>
        <w:t>Mauritanie.</w:t>
      </w:r>
      <w:r w:rsidR="00FE2B70" w:rsidRPr="00915B33">
        <w:rPr>
          <w:rFonts w:ascii="Times New Roman" w:hAnsi="Times New Roman" w:cs="Times New Roman"/>
          <w:color w:val="000000" w:themeColor="text1"/>
          <w:lang w:val="fr-CA"/>
        </w:rPr>
        <w:t xml:space="preserve"> Ces produits pour la </w:t>
      </w:r>
      <w:r w:rsidR="00046A6A" w:rsidRPr="00915B33">
        <w:rPr>
          <w:rFonts w:ascii="Times New Roman" w:hAnsi="Times New Roman" w:cs="Times New Roman"/>
          <w:color w:val="000000" w:themeColor="text1"/>
          <w:lang w:val="fr-CA"/>
        </w:rPr>
        <w:t>plupart</w:t>
      </w:r>
      <w:r w:rsidRPr="00915B33">
        <w:rPr>
          <w:rFonts w:ascii="Times New Roman" w:hAnsi="Times New Roman" w:cs="Times New Roman"/>
          <w:color w:val="000000" w:themeColor="text1"/>
          <w:lang w:val="fr-CA"/>
        </w:rPr>
        <w:t xml:space="preserve"> sont importés</w:t>
      </w:r>
      <w:r w:rsidR="00E67295" w:rsidRPr="00915B33">
        <w:rPr>
          <w:rFonts w:ascii="Times New Roman" w:hAnsi="Times New Roman" w:cs="Times New Roman"/>
          <w:color w:val="000000" w:themeColor="text1"/>
          <w:lang w:val="fr-CA"/>
        </w:rPr>
        <w:t xml:space="preserve"> malgré la présence de nombreuses entreprises nationales et internationales</w:t>
      </w:r>
      <w:r w:rsidRPr="00915B33">
        <w:rPr>
          <w:rFonts w:ascii="Times New Roman" w:hAnsi="Times New Roman" w:cs="Times New Roman"/>
          <w:color w:val="000000" w:themeColor="text1"/>
          <w:lang w:val="fr-CA"/>
        </w:rPr>
        <w:t xml:space="preserve">. Le ciment </w:t>
      </w:r>
      <w:r w:rsidR="00FE2B70" w:rsidRPr="00915B33">
        <w:rPr>
          <w:rFonts w:ascii="Times New Roman" w:hAnsi="Times New Roman" w:cs="Times New Roman"/>
          <w:color w:val="000000" w:themeColor="text1"/>
          <w:lang w:val="fr-CA"/>
        </w:rPr>
        <w:t xml:space="preserve">provient </w:t>
      </w:r>
      <w:r w:rsidRPr="00915B33">
        <w:rPr>
          <w:rFonts w:ascii="Times New Roman" w:hAnsi="Times New Roman" w:cs="Times New Roman"/>
          <w:color w:val="000000" w:themeColor="text1"/>
          <w:lang w:val="fr-CA"/>
        </w:rPr>
        <w:t xml:space="preserve">d'Espagne </w:t>
      </w:r>
      <w:r w:rsidR="00FE2B70" w:rsidRPr="00915B33">
        <w:rPr>
          <w:rFonts w:ascii="Times New Roman" w:hAnsi="Times New Roman" w:cs="Times New Roman"/>
          <w:color w:val="000000" w:themeColor="text1"/>
          <w:lang w:val="fr-CA"/>
        </w:rPr>
        <w:t>et</w:t>
      </w:r>
      <w:r w:rsidRPr="00915B33">
        <w:rPr>
          <w:rFonts w:ascii="Times New Roman" w:hAnsi="Times New Roman" w:cs="Times New Roman"/>
          <w:color w:val="000000" w:themeColor="text1"/>
          <w:lang w:val="fr-CA"/>
        </w:rPr>
        <w:t xml:space="preserve"> de</w:t>
      </w:r>
      <w:r w:rsidR="00103D55" w:rsidRPr="00915B33">
        <w:rPr>
          <w:rFonts w:ascii="Times New Roman" w:hAnsi="Times New Roman" w:cs="Times New Roman"/>
          <w:color w:val="000000" w:themeColor="text1"/>
          <w:lang w:val="fr-CA"/>
        </w:rPr>
        <w:t xml:space="preserve"> </w:t>
      </w:r>
      <w:r w:rsidRPr="00915B33">
        <w:rPr>
          <w:rFonts w:ascii="Times New Roman" w:hAnsi="Times New Roman" w:cs="Times New Roman"/>
          <w:color w:val="000000" w:themeColor="text1"/>
          <w:lang w:val="fr-CA"/>
        </w:rPr>
        <w:t>Belgique.</w:t>
      </w:r>
      <w:r w:rsidR="00046A6A">
        <w:rPr>
          <w:rFonts w:ascii="Times New Roman" w:hAnsi="Times New Roman" w:cs="Times New Roman"/>
          <w:color w:val="000000" w:themeColor="text1"/>
          <w:lang w:val="fr-CA"/>
        </w:rPr>
        <w:t xml:space="preserve"> </w:t>
      </w:r>
      <w:r w:rsidR="00941A08" w:rsidRPr="00915B33">
        <w:rPr>
          <w:rFonts w:ascii="Times New Roman" w:hAnsi="Times New Roman" w:cs="Times New Roman"/>
          <w:color w:val="000000" w:themeColor="text1"/>
          <w:lang w:val="fr-CA"/>
        </w:rPr>
        <w:t xml:space="preserve">Dans les centres urbains, 42% des toitures sont en béton et 29% en zinc. Il n’est pas rare de trouver dans </w:t>
      </w:r>
      <w:r w:rsidR="00445CE0" w:rsidRPr="00915B33">
        <w:rPr>
          <w:rFonts w:ascii="Times New Roman" w:hAnsi="Times New Roman" w:cs="Times New Roman"/>
          <w:color w:val="000000" w:themeColor="text1"/>
          <w:lang w:val="fr-CA"/>
        </w:rPr>
        <w:t>les bidonvilles</w:t>
      </w:r>
      <w:r w:rsidR="00941A08" w:rsidRPr="00915B33">
        <w:rPr>
          <w:rFonts w:ascii="Times New Roman" w:hAnsi="Times New Roman" w:cs="Times New Roman"/>
          <w:color w:val="000000" w:themeColor="text1"/>
          <w:lang w:val="fr-CA"/>
        </w:rPr>
        <w:t xml:space="preserve"> (Kebba) et en zone rurale, des bâtiments ou des clôtures construits avec un mélange d'argile (banco), du bois, des branches et des nattes.</w:t>
      </w:r>
      <w:r w:rsidR="00280846" w:rsidRPr="00915B33">
        <w:rPr>
          <w:rFonts w:ascii="Times New Roman" w:hAnsi="Times New Roman" w:cs="Times New Roman"/>
          <w:color w:val="000000" w:themeColor="text1"/>
          <w:lang w:val="fr-CA"/>
        </w:rPr>
        <w:t xml:space="preserve"> </w:t>
      </w:r>
      <w:r w:rsidR="00941A08" w:rsidRPr="00915B33">
        <w:rPr>
          <w:rFonts w:ascii="Times New Roman" w:hAnsi="Times New Roman" w:cs="Times New Roman"/>
          <w:color w:val="000000" w:themeColor="text1"/>
          <w:lang w:val="fr-CA"/>
        </w:rPr>
        <w:t>Le sable et le coquillage nécessaires à production de béton sont disponible localement ainsi que le gypse.</w:t>
      </w:r>
    </w:p>
    <w:p w14:paraId="16AC7F84" w14:textId="6690C0DD" w:rsidR="00F27423" w:rsidRPr="00915B33" w:rsidRDefault="00F27423" w:rsidP="00A32158">
      <w:pPr>
        <w:jc w:val="center"/>
        <w:rPr>
          <w:rFonts w:ascii="Times New Roman" w:eastAsia="Calibri" w:hAnsi="Times New Roman" w:cs="Times New Roman"/>
          <w:b/>
          <w:color w:val="000000" w:themeColor="text1"/>
        </w:rPr>
      </w:pPr>
      <w:r w:rsidRPr="00915B33">
        <w:rPr>
          <w:rFonts w:ascii="Times New Roman" w:hAnsi="Times New Roman" w:cs="Times New Roman"/>
          <w:b/>
          <w:color w:val="000000" w:themeColor="text1"/>
        </w:rPr>
        <w:t xml:space="preserve">Tableau </w:t>
      </w:r>
      <w:r w:rsidR="00023122" w:rsidRPr="00915B33">
        <w:rPr>
          <w:rFonts w:ascii="Times New Roman" w:hAnsi="Times New Roman" w:cs="Times New Roman"/>
          <w:b/>
          <w:color w:val="000000" w:themeColor="text1"/>
        </w:rPr>
        <w:t>5</w:t>
      </w:r>
      <w:r w:rsidRPr="00915B33">
        <w:rPr>
          <w:rFonts w:ascii="Times New Roman" w:hAnsi="Times New Roman" w:cs="Times New Roman"/>
          <w:color w:val="000000" w:themeColor="text1"/>
        </w:rPr>
        <w:t xml:space="preserve"> : </w:t>
      </w:r>
      <w:r w:rsidR="00B60BF5" w:rsidRPr="00915B33">
        <w:rPr>
          <w:rFonts w:ascii="Times New Roman" w:hAnsi="Times New Roman" w:cs="Times New Roman"/>
          <w:color w:val="000000" w:themeColor="text1"/>
        </w:rPr>
        <w:t>D</w:t>
      </w:r>
      <w:r w:rsidRPr="00915B33">
        <w:rPr>
          <w:rFonts w:ascii="Times New Roman" w:hAnsi="Times New Roman" w:cs="Times New Roman"/>
          <w:color w:val="000000" w:themeColor="text1"/>
        </w:rPr>
        <w:t>ates de création et de démarrage des activités des principales cimenteries</w:t>
      </w:r>
    </w:p>
    <w:tbl>
      <w:tblPr>
        <w:tblStyle w:val="TableauGrille2-Accentuation41"/>
        <w:tblW w:w="9287" w:type="dxa"/>
        <w:tblLayout w:type="fixed"/>
        <w:tblLook w:val="0000" w:firstRow="0" w:lastRow="0" w:firstColumn="0" w:lastColumn="0" w:noHBand="0" w:noVBand="0"/>
      </w:tblPr>
      <w:tblGrid>
        <w:gridCol w:w="2835"/>
        <w:gridCol w:w="1843"/>
        <w:gridCol w:w="2263"/>
        <w:gridCol w:w="2346"/>
      </w:tblGrid>
      <w:tr w:rsidR="00915B33" w:rsidRPr="00915B33" w14:paraId="5AFE7C11" w14:textId="77777777" w:rsidTr="009C31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5" w:type="dxa"/>
          </w:tcPr>
          <w:p w14:paraId="72A49B34" w14:textId="77777777" w:rsidR="00F27423" w:rsidRPr="00915B33" w:rsidRDefault="00F27423" w:rsidP="00A32158">
            <w:pPr>
              <w:spacing w:after="0"/>
              <w:jc w:val="center"/>
              <w:rPr>
                <w:rFonts w:ascii="Times New Roman" w:eastAsia="Calibri" w:hAnsi="Times New Roman" w:cs="Times New Roman"/>
                <w:b/>
                <w:color w:val="000000" w:themeColor="text1"/>
              </w:rPr>
            </w:pPr>
            <w:r w:rsidRPr="00915B33">
              <w:rPr>
                <w:rFonts w:ascii="Times New Roman" w:eastAsia="Calibri" w:hAnsi="Times New Roman" w:cs="Times New Roman"/>
                <w:b/>
                <w:color w:val="000000" w:themeColor="text1"/>
              </w:rPr>
              <w:t>Entreprise</w:t>
            </w:r>
            <w:r w:rsidR="009C3184" w:rsidRPr="00915B33">
              <w:rPr>
                <w:rFonts w:ascii="Times New Roman" w:eastAsia="Calibri" w:hAnsi="Times New Roman" w:cs="Times New Roman"/>
                <w:b/>
                <w:color w:val="000000" w:themeColor="text1"/>
              </w:rPr>
              <w:t>s</w:t>
            </w:r>
          </w:p>
        </w:tc>
        <w:tc>
          <w:tcPr>
            <w:tcW w:w="1843" w:type="dxa"/>
          </w:tcPr>
          <w:p w14:paraId="2FE31932" w14:textId="77777777" w:rsidR="00F061D4" w:rsidRPr="00915B33" w:rsidRDefault="00F27423" w:rsidP="00A3215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themeColor="text1"/>
              </w:rPr>
            </w:pPr>
            <w:r w:rsidRPr="00915B33">
              <w:rPr>
                <w:rFonts w:ascii="Times New Roman" w:eastAsia="Calibri" w:hAnsi="Times New Roman" w:cs="Times New Roman"/>
                <w:b/>
                <w:color w:val="000000" w:themeColor="text1"/>
              </w:rPr>
              <w:t>Année</w:t>
            </w:r>
            <w:r w:rsidR="009C3184" w:rsidRPr="00915B33">
              <w:rPr>
                <w:rFonts w:ascii="Times New Roman" w:eastAsia="Calibri" w:hAnsi="Times New Roman" w:cs="Times New Roman"/>
                <w:b/>
                <w:color w:val="000000" w:themeColor="text1"/>
              </w:rPr>
              <w:t>s</w:t>
            </w:r>
          </w:p>
          <w:p w14:paraId="364A5E05" w14:textId="77777777" w:rsidR="00F27423" w:rsidRPr="00915B33" w:rsidRDefault="00F27423" w:rsidP="00A3215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themeColor="text1"/>
              </w:rPr>
            </w:pPr>
            <w:r w:rsidRPr="00915B33">
              <w:rPr>
                <w:rFonts w:ascii="Times New Roman" w:eastAsia="Calibri" w:hAnsi="Times New Roman" w:cs="Times New Roman"/>
                <w:b/>
                <w:color w:val="000000" w:themeColor="text1"/>
              </w:rPr>
              <w:t>de création</w:t>
            </w:r>
          </w:p>
        </w:tc>
        <w:tc>
          <w:tcPr>
            <w:cnfStyle w:val="000010000000" w:firstRow="0" w:lastRow="0" w:firstColumn="0" w:lastColumn="0" w:oddVBand="1" w:evenVBand="0" w:oddHBand="0" w:evenHBand="0" w:firstRowFirstColumn="0" w:firstRowLastColumn="0" w:lastRowFirstColumn="0" w:lastRowLastColumn="0"/>
            <w:tcW w:w="2263" w:type="dxa"/>
          </w:tcPr>
          <w:p w14:paraId="5E05AAE6" w14:textId="77777777" w:rsidR="00F27423" w:rsidRPr="00915B33" w:rsidRDefault="00F27423" w:rsidP="00A32158">
            <w:pPr>
              <w:spacing w:after="0"/>
              <w:jc w:val="center"/>
              <w:rPr>
                <w:rFonts w:ascii="Times New Roman" w:eastAsia="Calibri" w:hAnsi="Times New Roman" w:cs="Times New Roman"/>
                <w:b/>
                <w:color w:val="000000" w:themeColor="text1"/>
              </w:rPr>
            </w:pPr>
            <w:r w:rsidRPr="00915B33">
              <w:rPr>
                <w:rFonts w:ascii="Times New Roman" w:eastAsia="Calibri" w:hAnsi="Times New Roman" w:cs="Times New Roman"/>
                <w:b/>
                <w:color w:val="000000" w:themeColor="text1"/>
              </w:rPr>
              <w:t>Année</w:t>
            </w:r>
            <w:r w:rsidR="009C3184" w:rsidRPr="00915B33">
              <w:rPr>
                <w:rFonts w:ascii="Times New Roman" w:eastAsia="Calibri" w:hAnsi="Times New Roman" w:cs="Times New Roman"/>
                <w:b/>
                <w:color w:val="000000" w:themeColor="text1"/>
              </w:rPr>
              <w:t>s</w:t>
            </w:r>
            <w:r w:rsidRPr="00915B33">
              <w:rPr>
                <w:rFonts w:ascii="Times New Roman" w:eastAsia="Calibri" w:hAnsi="Times New Roman" w:cs="Times New Roman"/>
                <w:b/>
                <w:color w:val="000000" w:themeColor="text1"/>
              </w:rPr>
              <w:t xml:space="preserve"> de démarrage des activités</w:t>
            </w:r>
          </w:p>
        </w:tc>
        <w:tc>
          <w:tcPr>
            <w:tcW w:w="2346" w:type="dxa"/>
          </w:tcPr>
          <w:p w14:paraId="1A7A2587" w14:textId="77777777" w:rsidR="00F27423" w:rsidRPr="00915B33" w:rsidRDefault="00F27423" w:rsidP="00A3215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Calibri" w:hAnsi="Times New Roman" w:cs="Times New Roman"/>
                <w:b/>
                <w:color w:val="000000" w:themeColor="text1"/>
              </w:rPr>
              <w:t>Début des activités de broyage de clinker</w:t>
            </w:r>
          </w:p>
        </w:tc>
      </w:tr>
      <w:tr w:rsidR="00915B33" w:rsidRPr="00915B33" w14:paraId="37247645" w14:textId="77777777" w:rsidTr="009C3184">
        <w:tc>
          <w:tcPr>
            <w:cnfStyle w:val="000010000000" w:firstRow="0" w:lastRow="0" w:firstColumn="0" w:lastColumn="0" w:oddVBand="1" w:evenVBand="0" w:oddHBand="0" w:evenHBand="0" w:firstRowFirstColumn="0" w:firstRowLastColumn="0" w:lastRowFirstColumn="0" w:lastRowLastColumn="0"/>
            <w:tcW w:w="2835" w:type="dxa"/>
          </w:tcPr>
          <w:p w14:paraId="6FEA71B6" w14:textId="77777777" w:rsidR="00F27423" w:rsidRPr="00915B33" w:rsidRDefault="00F27423" w:rsidP="00020862">
            <w:pPr>
              <w:spacing w:after="0"/>
              <w:rPr>
                <w:rFonts w:ascii="Times New Roman" w:eastAsia="Calibri" w:hAnsi="Times New Roman" w:cs="Times New Roman"/>
                <w:b/>
                <w:color w:val="000000" w:themeColor="text1"/>
              </w:rPr>
            </w:pPr>
            <w:r w:rsidRPr="00915B33">
              <w:rPr>
                <w:rFonts w:ascii="Times New Roman" w:eastAsia="Calibri" w:hAnsi="Times New Roman" w:cs="Times New Roman"/>
                <w:b/>
                <w:color w:val="000000" w:themeColor="text1"/>
              </w:rPr>
              <w:t>Ciment de Mauritanie</w:t>
            </w:r>
          </w:p>
        </w:tc>
        <w:tc>
          <w:tcPr>
            <w:tcW w:w="1843" w:type="dxa"/>
          </w:tcPr>
          <w:p w14:paraId="101955A5" w14:textId="77777777" w:rsidR="00F27423" w:rsidRPr="00915B33" w:rsidRDefault="00F27423" w:rsidP="00A3215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915B33">
              <w:rPr>
                <w:rFonts w:ascii="Times New Roman" w:eastAsia="Calibri" w:hAnsi="Times New Roman" w:cs="Times New Roman"/>
                <w:color w:val="000000" w:themeColor="text1"/>
              </w:rPr>
              <w:t>1979</w:t>
            </w:r>
          </w:p>
        </w:tc>
        <w:tc>
          <w:tcPr>
            <w:cnfStyle w:val="000010000000" w:firstRow="0" w:lastRow="0" w:firstColumn="0" w:lastColumn="0" w:oddVBand="1" w:evenVBand="0" w:oddHBand="0" w:evenHBand="0" w:firstRowFirstColumn="0" w:firstRowLastColumn="0" w:lastRowFirstColumn="0" w:lastRowLastColumn="0"/>
            <w:tcW w:w="2263" w:type="dxa"/>
          </w:tcPr>
          <w:p w14:paraId="36F75E9A" w14:textId="77777777" w:rsidR="00F27423" w:rsidRPr="00915B33" w:rsidRDefault="00F27423" w:rsidP="00A32158">
            <w:pPr>
              <w:spacing w:after="0"/>
              <w:jc w:val="center"/>
              <w:rPr>
                <w:rFonts w:ascii="Times New Roman" w:eastAsia="Calibri" w:hAnsi="Times New Roman" w:cs="Times New Roman"/>
                <w:color w:val="000000" w:themeColor="text1"/>
              </w:rPr>
            </w:pPr>
            <w:r w:rsidRPr="00915B33">
              <w:rPr>
                <w:rFonts w:ascii="Times New Roman" w:eastAsia="Calibri" w:hAnsi="Times New Roman" w:cs="Times New Roman"/>
                <w:color w:val="000000" w:themeColor="text1"/>
              </w:rPr>
              <w:t>1981</w:t>
            </w:r>
          </w:p>
        </w:tc>
        <w:tc>
          <w:tcPr>
            <w:tcW w:w="2346" w:type="dxa"/>
          </w:tcPr>
          <w:p w14:paraId="4AF5149C" w14:textId="77777777" w:rsidR="00F27423" w:rsidRPr="00915B33" w:rsidRDefault="00F27423" w:rsidP="00A3215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Calibri" w:hAnsi="Times New Roman" w:cs="Times New Roman"/>
                <w:color w:val="000000" w:themeColor="text1"/>
              </w:rPr>
              <w:t>1998</w:t>
            </w:r>
          </w:p>
        </w:tc>
      </w:tr>
      <w:tr w:rsidR="00915B33" w:rsidRPr="00915B33" w14:paraId="5B2688A6" w14:textId="77777777" w:rsidTr="009C31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5" w:type="dxa"/>
          </w:tcPr>
          <w:p w14:paraId="0CDA077E" w14:textId="77777777" w:rsidR="00F27423" w:rsidRPr="00915B33" w:rsidRDefault="00F27423" w:rsidP="00020862">
            <w:pPr>
              <w:spacing w:after="0"/>
              <w:rPr>
                <w:rFonts w:ascii="Times New Roman" w:eastAsia="Calibri" w:hAnsi="Times New Roman" w:cs="Times New Roman"/>
                <w:b/>
                <w:color w:val="000000" w:themeColor="text1"/>
              </w:rPr>
            </w:pPr>
            <w:r w:rsidRPr="00915B33">
              <w:rPr>
                <w:rFonts w:ascii="Times New Roman" w:eastAsia="Calibri" w:hAnsi="Times New Roman" w:cs="Times New Roman"/>
                <w:b/>
                <w:color w:val="000000" w:themeColor="text1"/>
              </w:rPr>
              <w:t>MAFCI</w:t>
            </w:r>
          </w:p>
        </w:tc>
        <w:tc>
          <w:tcPr>
            <w:tcW w:w="1843" w:type="dxa"/>
          </w:tcPr>
          <w:p w14:paraId="235E18C2" w14:textId="77777777" w:rsidR="00F27423" w:rsidRPr="00915B33" w:rsidRDefault="00F27423" w:rsidP="00A3215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915B33">
              <w:rPr>
                <w:rFonts w:ascii="Times New Roman" w:eastAsia="Calibri" w:hAnsi="Times New Roman" w:cs="Times New Roman"/>
                <w:color w:val="000000" w:themeColor="text1"/>
              </w:rPr>
              <w:t>1995</w:t>
            </w:r>
          </w:p>
        </w:tc>
        <w:tc>
          <w:tcPr>
            <w:cnfStyle w:val="000010000000" w:firstRow="0" w:lastRow="0" w:firstColumn="0" w:lastColumn="0" w:oddVBand="1" w:evenVBand="0" w:oddHBand="0" w:evenHBand="0" w:firstRowFirstColumn="0" w:firstRowLastColumn="0" w:lastRowFirstColumn="0" w:lastRowLastColumn="0"/>
            <w:tcW w:w="2263" w:type="dxa"/>
          </w:tcPr>
          <w:p w14:paraId="6BE895DA" w14:textId="77777777" w:rsidR="00F27423" w:rsidRPr="00915B33" w:rsidRDefault="00F27423" w:rsidP="00A32158">
            <w:pPr>
              <w:spacing w:after="0"/>
              <w:jc w:val="center"/>
              <w:rPr>
                <w:rFonts w:ascii="Times New Roman" w:eastAsia="Calibri" w:hAnsi="Times New Roman" w:cs="Times New Roman"/>
                <w:color w:val="000000" w:themeColor="text1"/>
              </w:rPr>
            </w:pPr>
            <w:r w:rsidRPr="00915B33">
              <w:rPr>
                <w:rFonts w:ascii="Times New Roman" w:eastAsia="Calibri" w:hAnsi="Times New Roman" w:cs="Times New Roman"/>
                <w:color w:val="000000" w:themeColor="text1"/>
              </w:rPr>
              <w:t>1995</w:t>
            </w:r>
          </w:p>
        </w:tc>
        <w:tc>
          <w:tcPr>
            <w:tcW w:w="2346" w:type="dxa"/>
          </w:tcPr>
          <w:p w14:paraId="54C9C20E" w14:textId="77777777" w:rsidR="00F27423" w:rsidRPr="00915B33" w:rsidRDefault="00F27423" w:rsidP="00A3215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Calibri" w:hAnsi="Times New Roman" w:cs="Times New Roman"/>
                <w:color w:val="000000" w:themeColor="text1"/>
              </w:rPr>
              <w:t>2000</w:t>
            </w:r>
          </w:p>
        </w:tc>
      </w:tr>
      <w:tr w:rsidR="00915B33" w:rsidRPr="00915B33" w14:paraId="4015F5B0" w14:textId="77777777" w:rsidTr="009C3184">
        <w:tc>
          <w:tcPr>
            <w:cnfStyle w:val="000010000000" w:firstRow="0" w:lastRow="0" w:firstColumn="0" w:lastColumn="0" w:oddVBand="1" w:evenVBand="0" w:oddHBand="0" w:evenHBand="0" w:firstRowFirstColumn="0" w:firstRowLastColumn="0" w:lastRowFirstColumn="0" w:lastRowLastColumn="0"/>
            <w:tcW w:w="2835" w:type="dxa"/>
          </w:tcPr>
          <w:p w14:paraId="705521EB" w14:textId="77777777" w:rsidR="00F27423" w:rsidRPr="00915B33" w:rsidRDefault="004B532E" w:rsidP="00020862">
            <w:pPr>
              <w:spacing w:after="0"/>
              <w:rPr>
                <w:rFonts w:ascii="Times New Roman" w:eastAsia="Calibri" w:hAnsi="Times New Roman" w:cs="Times New Roman"/>
                <w:b/>
                <w:color w:val="000000" w:themeColor="text1"/>
              </w:rPr>
            </w:pPr>
            <w:r w:rsidRPr="00915B33">
              <w:rPr>
                <w:rFonts w:ascii="Times New Roman" w:eastAsia="Calibri" w:hAnsi="Times New Roman" w:cs="Times New Roman"/>
                <w:b/>
                <w:color w:val="000000" w:themeColor="text1"/>
              </w:rPr>
              <w:t>Mauricim (</w:t>
            </w:r>
            <w:r w:rsidR="00F061D4" w:rsidRPr="00915B33">
              <w:rPr>
                <w:rFonts w:ascii="Times New Roman" w:eastAsia="Calibri" w:hAnsi="Times New Roman" w:cs="Times New Roman"/>
                <w:b/>
                <w:color w:val="000000" w:themeColor="text1"/>
              </w:rPr>
              <w:t xml:space="preserve">ex </w:t>
            </w:r>
            <w:r w:rsidR="00F27423" w:rsidRPr="00915B33">
              <w:rPr>
                <w:rFonts w:ascii="Times New Roman" w:eastAsia="Calibri" w:hAnsi="Times New Roman" w:cs="Times New Roman"/>
                <w:b/>
                <w:color w:val="000000" w:themeColor="text1"/>
              </w:rPr>
              <w:t>BSA Ciment</w:t>
            </w:r>
            <w:r w:rsidRPr="00915B33">
              <w:rPr>
                <w:rFonts w:ascii="Times New Roman" w:eastAsia="Calibri" w:hAnsi="Times New Roman" w:cs="Times New Roman"/>
                <w:b/>
                <w:color w:val="000000" w:themeColor="text1"/>
              </w:rPr>
              <w:t>)</w:t>
            </w:r>
          </w:p>
        </w:tc>
        <w:tc>
          <w:tcPr>
            <w:tcW w:w="1843" w:type="dxa"/>
          </w:tcPr>
          <w:p w14:paraId="0D031781" w14:textId="77777777" w:rsidR="00F27423" w:rsidRPr="00915B33" w:rsidRDefault="00F27423" w:rsidP="00A3215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915B33">
              <w:rPr>
                <w:rFonts w:ascii="Times New Roman" w:eastAsia="Calibri" w:hAnsi="Times New Roman" w:cs="Times New Roman"/>
                <w:color w:val="000000" w:themeColor="text1"/>
              </w:rPr>
              <w:t>2005</w:t>
            </w:r>
          </w:p>
        </w:tc>
        <w:tc>
          <w:tcPr>
            <w:cnfStyle w:val="000010000000" w:firstRow="0" w:lastRow="0" w:firstColumn="0" w:lastColumn="0" w:oddVBand="1" w:evenVBand="0" w:oddHBand="0" w:evenHBand="0" w:firstRowFirstColumn="0" w:firstRowLastColumn="0" w:lastRowFirstColumn="0" w:lastRowLastColumn="0"/>
            <w:tcW w:w="2263" w:type="dxa"/>
          </w:tcPr>
          <w:p w14:paraId="4AA96F54" w14:textId="77777777" w:rsidR="00F27423" w:rsidRPr="00915B33" w:rsidRDefault="00F27423" w:rsidP="00A32158">
            <w:pPr>
              <w:spacing w:after="0"/>
              <w:jc w:val="center"/>
              <w:rPr>
                <w:rFonts w:ascii="Times New Roman" w:eastAsia="Calibri" w:hAnsi="Times New Roman" w:cs="Times New Roman"/>
                <w:color w:val="000000" w:themeColor="text1"/>
              </w:rPr>
            </w:pPr>
            <w:r w:rsidRPr="00915B33">
              <w:rPr>
                <w:rFonts w:ascii="Times New Roman" w:eastAsia="Calibri" w:hAnsi="Times New Roman" w:cs="Times New Roman"/>
                <w:color w:val="000000" w:themeColor="text1"/>
              </w:rPr>
              <w:t>2008</w:t>
            </w:r>
          </w:p>
        </w:tc>
        <w:tc>
          <w:tcPr>
            <w:tcW w:w="2346" w:type="dxa"/>
          </w:tcPr>
          <w:p w14:paraId="6120BD95" w14:textId="77777777" w:rsidR="00F27423" w:rsidRPr="00915B33" w:rsidRDefault="00F27423" w:rsidP="00A3215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Calibri" w:hAnsi="Times New Roman" w:cs="Times New Roman"/>
                <w:color w:val="000000" w:themeColor="text1"/>
              </w:rPr>
              <w:t>2008</w:t>
            </w:r>
          </w:p>
        </w:tc>
      </w:tr>
      <w:tr w:rsidR="00915B33" w:rsidRPr="00915B33" w14:paraId="43C9403D" w14:textId="77777777" w:rsidTr="009C318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5" w:type="dxa"/>
          </w:tcPr>
          <w:p w14:paraId="257F44BE" w14:textId="77777777" w:rsidR="009B7D70" w:rsidRPr="00915B33" w:rsidRDefault="009B7D70" w:rsidP="00020862">
            <w:pPr>
              <w:spacing w:after="0"/>
              <w:rPr>
                <w:rFonts w:ascii="Times New Roman" w:eastAsia="Calibri" w:hAnsi="Times New Roman" w:cs="Times New Roman"/>
                <w:b/>
                <w:color w:val="000000" w:themeColor="text1"/>
              </w:rPr>
            </w:pPr>
            <w:r w:rsidRPr="00915B33">
              <w:rPr>
                <w:rFonts w:ascii="Times New Roman" w:eastAsia="Calibri" w:hAnsi="Times New Roman" w:cs="Times New Roman"/>
                <w:b/>
                <w:color w:val="000000" w:themeColor="text1"/>
              </w:rPr>
              <w:t>Ciment du Sahel</w:t>
            </w:r>
          </w:p>
        </w:tc>
        <w:tc>
          <w:tcPr>
            <w:tcW w:w="1843" w:type="dxa"/>
          </w:tcPr>
          <w:p w14:paraId="1E7D04C4" w14:textId="77777777" w:rsidR="009B7D70" w:rsidRPr="00915B33" w:rsidRDefault="006D3B46" w:rsidP="00A3215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915B33">
              <w:rPr>
                <w:rFonts w:ascii="Times New Roman" w:eastAsia="Calibri" w:hAnsi="Times New Roman" w:cs="Times New Roman"/>
                <w:color w:val="000000" w:themeColor="text1"/>
              </w:rPr>
              <w:t>2002</w:t>
            </w:r>
          </w:p>
        </w:tc>
        <w:tc>
          <w:tcPr>
            <w:cnfStyle w:val="000010000000" w:firstRow="0" w:lastRow="0" w:firstColumn="0" w:lastColumn="0" w:oddVBand="1" w:evenVBand="0" w:oddHBand="0" w:evenHBand="0" w:firstRowFirstColumn="0" w:firstRowLastColumn="0" w:lastRowFirstColumn="0" w:lastRowLastColumn="0"/>
            <w:tcW w:w="2263" w:type="dxa"/>
          </w:tcPr>
          <w:p w14:paraId="3D2CA194" w14:textId="77777777" w:rsidR="009B7D70" w:rsidRPr="00915B33" w:rsidRDefault="00A72FF7" w:rsidP="00A32158">
            <w:pPr>
              <w:spacing w:after="0"/>
              <w:jc w:val="center"/>
              <w:rPr>
                <w:rFonts w:ascii="Times New Roman" w:eastAsia="Calibri" w:hAnsi="Times New Roman" w:cs="Times New Roman"/>
                <w:color w:val="000000" w:themeColor="text1"/>
              </w:rPr>
            </w:pPr>
            <w:r w:rsidRPr="00915B33">
              <w:rPr>
                <w:rFonts w:ascii="Times New Roman" w:eastAsia="Calibri" w:hAnsi="Times New Roman" w:cs="Times New Roman"/>
                <w:color w:val="000000" w:themeColor="text1"/>
              </w:rPr>
              <w:t>ND</w:t>
            </w:r>
          </w:p>
        </w:tc>
        <w:tc>
          <w:tcPr>
            <w:tcW w:w="2346" w:type="dxa"/>
          </w:tcPr>
          <w:p w14:paraId="743F8474" w14:textId="77777777" w:rsidR="009B7D70" w:rsidRPr="00915B33" w:rsidRDefault="00A72FF7" w:rsidP="00A3215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915B33">
              <w:rPr>
                <w:rFonts w:ascii="Times New Roman" w:eastAsia="Calibri" w:hAnsi="Times New Roman" w:cs="Times New Roman"/>
                <w:color w:val="000000" w:themeColor="text1"/>
              </w:rPr>
              <w:t>ND</w:t>
            </w:r>
          </w:p>
        </w:tc>
      </w:tr>
      <w:tr w:rsidR="00915B33" w:rsidRPr="00915B33" w14:paraId="14226B14" w14:textId="77777777" w:rsidTr="009C3184">
        <w:tc>
          <w:tcPr>
            <w:cnfStyle w:val="000010000000" w:firstRow="0" w:lastRow="0" w:firstColumn="0" w:lastColumn="0" w:oddVBand="1" w:evenVBand="0" w:oddHBand="0" w:evenHBand="0" w:firstRowFirstColumn="0" w:firstRowLastColumn="0" w:lastRowFirstColumn="0" w:lastRowLastColumn="0"/>
            <w:tcW w:w="2835" w:type="dxa"/>
          </w:tcPr>
          <w:p w14:paraId="1AB245CB" w14:textId="77777777" w:rsidR="009B7D70" w:rsidRPr="00915B33" w:rsidRDefault="009B7D70" w:rsidP="00020862">
            <w:pPr>
              <w:spacing w:after="0"/>
              <w:rPr>
                <w:rFonts w:ascii="Times New Roman" w:eastAsia="Calibri" w:hAnsi="Times New Roman" w:cs="Times New Roman"/>
                <w:b/>
                <w:color w:val="000000" w:themeColor="text1"/>
              </w:rPr>
            </w:pPr>
            <w:r w:rsidRPr="00915B33">
              <w:rPr>
                <w:rFonts w:ascii="Times New Roman" w:eastAsia="Calibri" w:hAnsi="Times New Roman" w:cs="Times New Roman"/>
                <w:b/>
                <w:color w:val="000000" w:themeColor="text1"/>
              </w:rPr>
              <w:t>VICAT</w:t>
            </w:r>
          </w:p>
        </w:tc>
        <w:tc>
          <w:tcPr>
            <w:tcW w:w="1843" w:type="dxa"/>
          </w:tcPr>
          <w:p w14:paraId="442C4A39" w14:textId="77777777" w:rsidR="009B7D70" w:rsidRPr="00915B33" w:rsidRDefault="00A72FF7" w:rsidP="00A3215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915B33">
              <w:rPr>
                <w:rFonts w:ascii="Times New Roman" w:eastAsia="Calibri" w:hAnsi="Times New Roman" w:cs="Times New Roman"/>
                <w:color w:val="000000" w:themeColor="text1"/>
              </w:rPr>
              <w:t>ND</w:t>
            </w:r>
          </w:p>
        </w:tc>
        <w:tc>
          <w:tcPr>
            <w:cnfStyle w:val="000010000000" w:firstRow="0" w:lastRow="0" w:firstColumn="0" w:lastColumn="0" w:oddVBand="1" w:evenVBand="0" w:oddHBand="0" w:evenHBand="0" w:firstRowFirstColumn="0" w:firstRowLastColumn="0" w:lastRowFirstColumn="0" w:lastRowLastColumn="0"/>
            <w:tcW w:w="2263" w:type="dxa"/>
          </w:tcPr>
          <w:p w14:paraId="72283F80" w14:textId="77777777" w:rsidR="009B7D70" w:rsidRPr="00915B33" w:rsidRDefault="00A72FF7" w:rsidP="00A32158">
            <w:pPr>
              <w:spacing w:after="0"/>
              <w:jc w:val="center"/>
              <w:rPr>
                <w:rFonts w:ascii="Times New Roman" w:eastAsia="Calibri" w:hAnsi="Times New Roman" w:cs="Times New Roman"/>
                <w:color w:val="000000" w:themeColor="text1"/>
              </w:rPr>
            </w:pPr>
            <w:r w:rsidRPr="00915B33">
              <w:rPr>
                <w:rFonts w:ascii="Times New Roman" w:eastAsia="Calibri" w:hAnsi="Times New Roman" w:cs="Times New Roman"/>
                <w:color w:val="000000" w:themeColor="text1"/>
              </w:rPr>
              <w:t>ND</w:t>
            </w:r>
          </w:p>
        </w:tc>
        <w:tc>
          <w:tcPr>
            <w:tcW w:w="2346" w:type="dxa"/>
          </w:tcPr>
          <w:p w14:paraId="0D1906B1" w14:textId="77777777" w:rsidR="009B7D70" w:rsidRPr="00915B33" w:rsidRDefault="00A72FF7" w:rsidP="00A3215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915B33">
              <w:rPr>
                <w:rFonts w:ascii="Times New Roman" w:eastAsia="Calibri" w:hAnsi="Times New Roman" w:cs="Times New Roman"/>
                <w:color w:val="000000" w:themeColor="text1"/>
              </w:rPr>
              <w:t>ND</w:t>
            </w:r>
          </w:p>
        </w:tc>
      </w:tr>
    </w:tbl>
    <w:p w14:paraId="07728947" w14:textId="77777777" w:rsidR="00117E18" w:rsidRPr="00915B33" w:rsidRDefault="00117E18" w:rsidP="00117E18">
      <w:pPr>
        <w:jc w:val="both"/>
        <w:rPr>
          <w:rFonts w:ascii="Times New Roman" w:hAnsi="Times New Roman" w:cs="Times New Roman"/>
          <w:color w:val="000000" w:themeColor="text1"/>
        </w:rPr>
      </w:pPr>
    </w:p>
    <w:p w14:paraId="5009264F" w14:textId="08D687AD" w:rsidR="00117E18" w:rsidRPr="00915B33" w:rsidRDefault="00117E18" w:rsidP="005D1BB6">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Le coquillage et le gypse sont issus des dépôts calcaires formés lors des transgressions marines</w:t>
      </w:r>
      <w:r w:rsidR="0063359E" w:rsidRPr="00915B33">
        <w:rPr>
          <w:rFonts w:ascii="Times New Roman" w:hAnsi="Times New Roman" w:cs="Times New Roman"/>
          <w:color w:val="000000" w:themeColor="text1"/>
        </w:rPr>
        <w:t>,</w:t>
      </w:r>
      <w:r w:rsidRPr="00915B33">
        <w:rPr>
          <w:rFonts w:ascii="Times New Roman" w:hAnsi="Times New Roman" w:cs="Times New Roman"/>
          <w:color w:val="000000" w:themeColor="text1"/>
        </w:rPr>
        <w:t xml:space="preserve"> dont le Nouakchottien</w:t>
      </w:r>
      <w:r w:rsidR="00445CE0">
        <w:rPr>
          <w:rFonts w:ascii="Times New Roman" w:hAnsi="Times New Roman" w:cs="Times New Roman"/>
          <w:color w:val="000000" w:themeColor="text1"/>
        </w:rPr>
        <w:t xml:space="preserve"> </w:t>
      </w:r>
      <w:r w:rsidR="0063359E" w:rsidRPr="00915B33">
        <w:rPr>
          <w:rFonts w:ascii="Times New Roman" w:hAnsi="Times New Roman" w:cs="Times New Roman"/>
          <w:color w:val="000000" w:themeColor="text1"/>
        </w:rPr>
        <w:t>a</w:t>
      </w:r>
      <w:r w:rsidRPr="00915B33">
        <w:rPr>
          <w:rFonts w:ascii="Times New Roman" w:hAnsi="Times New Roman" w:cs="Times New Roman"/>
          <w:color w:val="000000" w:themeColor="text1"/>
        </w:rPr>
        <w:t>u quaternaire</w:t>
      </w:r>
      <w:r w:rsidR="007311E9" w:rsidRPr="00915B33">
        <w:rPr>
          <w:rStyle w:val="Appelnotedebasdep"/>
          <w:rFonts w:ascii="Times New Roman" w:hAnsi="Times New Roman" w:cs="Times New Roman"/>
          <w:color w:val="000000" w:themeColor="text1"/>
        </w:rPr>
        <w:footnoteReference w:id="11"/>
      </w:r>
      <w:r w:rsidRPr="00915B33">
        <w:rPr>
          <w:rFonts w:ascii="Times New Roman" w:hAnsi="Times New Roman" w:cs="Times New Roman"/>
          <w:color w:val="000000" w:themeColor="text1"/>
        </w:rPr>
        <w:t>. Il est extrait artisanalement par des manœuvres qui opèrent à la force des bras au niveau des innombrables carrières situées le long du littoral puis acheminé par camions à Nouakchott. Quant au gypse, il provient des mines de l’Inchiri exploitées, notamment par la Société Arabe des Industries Métalliques (SAMIA).</w:t>
      </w:r>
    </w:p>
    <w:p w14:paraId="0A0F836A" w14:textId="77777777" w:rsidR="00F27423" w:rsidRPr="00915B33" w:rsidRDefault="00F27423" w:rsidP="005D1BB6">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Le procédé industriel de fabrication du ciment par les cimenteries mauritaniennes est constitué d’un mélange de clinker (mâchefer), coquillage et gypse. </w:t>
      </w:r>
      <w:r w:rsidR="0040135C" w:rsidRPr="00915B33">
        <w:rPr>
          <w:rFonts w:ascii="Times New Roman" w:hAnsi="Times New Roman" w:cs="Times New Roman"/>
          <w:color w:val="000000" w:themeColor="text1"/>
        </w:rPr>
        <w:t>De c</w:t>
      </w:r>
      <w:r w:rsidRPr="00915B33">
        <w:rPr>
          <w:rFonts w:ascii="Times New Roman" w:hAnsi="Times New Roman" w:cs="Times New Roman"/>
          <w:color w:val="000000" w:themeColor="text1"/>
        </w:rPr>
        <w:t xml:space="preserve">es </w:t>
      </w:r>
      <w:r w:rsidR="0040135C" w:rsidRPr="00915B33">
        <w:rPr>
          <w:rFonts w:ascii="Times New Roman" w:hAnsi="Times New Roman" w:cs="Times New Roman"/>
          <w:color w:val="000000" w:themeColor="text1"/>
        </w:rPr>
        <w:t xml:space="preserve">trois matériaux, seul </w:t>
      </w:r>
      <w:r w:rsidRPr="00915B33">
        <w:rPr>
          <w:rFonts w:ascii="Times New Roman" w:hAnsi="Times New Roman" w:cs="Times New Roman"/>
          <w:color w:val="000000" w:themeColor="text1"/>
        </w:rPr>
        <w:t xml:space="preserve">le mâchefer </w:t>
      </w:r>
      <w:r w:rsidR="0040135C" w:rsidRPr="00915B33">
        <w:rPr>
          <w:rFonts w:ascii="Times New Roman" w:hAnsi="Times New Roman" w:cs="Times New Roman"/>
          <w:color w:val="000000" w:themeColor="text1"/>
        </w:rPr>
        <w:t xml:space="preserve">importé </w:t>
      </w:r>
      <w:r w:rsidRPr="00915B33">
        <w:rPr>
          <w:rFonts w:ascii="Times New Roman" w:hAnsi="Times New Roman" w:cs="Times New Roman"/>
          <w:color w:val="000000" w:themeColor="text1"/>
        </w:rPr>
        <w:t xml:space="preserve">d’un peu partout dans le monde, notamment du Maroc, Turquie, France, Espagne, etc.  </w:t>
      </w:r>
    </w:p>
    <w:p w14:paraId="10311D67" w14:textId="77777777" w:rsidR="00F27423" w:rsidRPr="00915B33" w:rsidRDefault="00F27423">
      <w:pPr>
        <w:jc w:val="both"/>
        <w:rPr>
          <w:rFonts w:ascii="Times New Roman" w:hAnsi="Times New Roman" w:cs="Times New Roman"/>
          <w:color w:val="000000" w:themeColor="text1"/>
        </w:rPr>
      </w:pPr>
    </w:p>
    <w:p w14:paraId="4741AC1E" w14:textId="77777777" w:rsidR="00F27423" w:rsidRPr="00915B33" w:rsidRDefault="00CA188C">
      <w:pPr>
        <w:jc w:val="both"/>
        <w:rPr>
          <w:rFonts w:ascii="Times New Roman" w:hAnsi="Times New Roman" w:cs="Times New Roman"/>
          <w:b/>
          <w:color w:val="000000" w:themeColor="text1"/>
        </w:rPr>
      </w:pPr>
      <w:r w:rsidRPr="00915B33">
        <w:rPr>
          <w:rFonts w:ascii="Times New Roman" w:hAnsi="Times New Roman" w:cs="Times New Roman"/>
          <w:noProof/>
          <w:color w:val="000000" w:themeColor="text1"/>
          <w:lang w:val="fr-CA" w:eastAsia="fr-CA"/>
        </w:rPr>
        <w:drawing>
          <wp:inline distT="0" distB="0" distL="0" distR="0" wp14:anchorId="3528F231" wp14:editId="7EE0090E">
            <wp:extent cx="5765800" cy="7689850"/>
            <wp:effectExtent l="1905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765800" cy="7689850"/>
                    </a:xfrm>
                    <a:prstGeom prst="rect">
                      <a:avLst/>
                    </a:prstGeom>
                    <a:solidFill>
                      <a:srgbClr val="FFFFFF"/>
                    </a:solidFill>
                    <a:ln w="9525">
                      <a:noFill/>
                      <a:miter lim="800000"/>
                      <a:headEnd/>
                      <a:tailEnd/>
                    </a:ln>
                  </pic:spPr>
                </pic:pic>
              </a:graphicData>
            </a:graphic>
          </wp:inline>
        </w:drawing>
      </w:r>
    </w:p>
    <w:p w14:paraId="3D74E17A" w14:textId="77777777" w:rsidR="00F27423" w:rsidRPr="00915B33" w:rsidRDefault="00F27423">
      <w:pPr>
        <w:tabs>
          <w:tab w:val="left" w:pos="3150"/>
        </w:tabs>
        <w:jc w:val="center"/>
        <w:rPr>
          <w:rFonts w:ascii="Times New Roman" w:hAnsi="Times New Roman" w:cs="Times New Roman"/>
          <w:color w:val="000000" w:themeColor="text1"/>
        </w:rPr>
      </w:pPr>
      <w:r w:rsidRPr="00915B33">
        <w:rPr>
          <w:rFonts w:ascii="Times New Roman" w:hAnsi="Times New Roman" w:cs="Times New Roman"/>
          <w:b/>
          <w:color w:val="000000" w:themeColor="text1"/>
        </w:rPr>
        <w:t>Graphique</w:t>
      </w:r>
      <w:r w:rsidRPr="00915B33">
        <w:rPr>
          <w:rFonts w:ascii="Times New Roman" w:hAnsi="Times New Roman" w:cs="Times New Roman"/>
          <w:color w:val="000000" w:themeColor="text1"/>
        </w:rPr>
        <w:t> </w:t>
      </w:r>
      <w:r w:rsidRPr="00915B33">
        <w:rPr>
          <w:rFonts w:ascii="Times New Roman" w:hAnsi="Times New Roman" w:cs="Times New Roman"/>
          <w:b/>
          <w:color w:val="000000" w:themeColor="text1"/>
        </w:rPr>
        <w:t xml:space="preserve">2 </w:t>
      </w:r>
      <w:r w:rsidRPr="00915B33">
        <w:rPr>
          <w:rFonts w:ascii="Times New Roman" w:hAnsi="Times New Roman" w:cs="Times New Roman"/>
          <w:color w:val="000000" w:themeColor="text1"/>
        </w:rPr>
        <w:t>: Catégories et sous-catégories de PIUP (GIEC, 2006)</w:t>
      </w:r>
    </w:p>
    <w:p w14:paraId="47FAD259" w14:textId="52EB4FFD" w:rsidR="00F27423" w:rsidRDefault="00F27423">
      <w:pPr>
        <w:jc w:val="both"/>
        <w:rPr>
          <w:rFonts w:ascii="Times New Roman" w:hAnsi="Times New Roman" w:cs="Times New Roman"/>
          <w:color w:val="000000" w:themeColor="text1"/>
        </w:rPr>
      </w:pPr>
    </w:p>
    <w:p w14:paraId="2868740E" w14:textId="77777777" w:rsidR="00F06B8A" w:rsidRPr="00915B33" w:rsidRDefault="00F06B8A">
      <w:pPr>
        <w:jc w:val="both"/>
        <w:rPr>
          <w:rFonts w:ascii="Times New Roman" w:hAnsi="Times New Roman" w:cs="Times New Roman"/>
          <w:color w:val="000000" w:themeColor="text1"/>
        </w:rPr>
      </w:pPr>
    </w:p>
    <w:p w14:paraId="7C646FAD" w14:textId="77777777" w:rsidR="00F27423" w:rsidRPr="00915B33" w:rsidRDefault="00F27423" w:rsidP="00D57578">
      <w:pPr>
        <w:pStyle w:val="Sous-titre"/>
        <w:numPr>
          <w:ilvl w:val="0"/>
          <w:numId w:val="28"/>
        </w:numPr>
        <w:outlineLvl w:val="2"/>
      </w:pPr>
      <w:bookmarkStart w:id="26" w:name="_Toc157935471"/>
      <w:r w:rsidRPr="00915B33">
        <w:t>Ciment de Mauritanie</w:t>
      </w:r>
      <w:bookmarkEnd w:id="26"/>
    </w:p>
    <w:p w14:paraId="633D0CE0" w14:textId="77777777" w:rsidR="00F27423" w:rsidRPr="00915B33" w:rsidRDefault="00F27423" w:rsidP="005D1BB6">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La société Ciment de Mauritanie a été créée en 1979. Au démarrage de ses activités, en 1981, elle procédait uniquement à l’ensachage du ciment importé. C’est en 1998 qu’elle commence à procéder au broyage du clinker.</w:t>
      </w:r>
    </w:p>
    <w:p w14:paraId="3823E1D0" w14:textId="77777777" w:rsidR="00F27423" w:rsidRPr="00915B33" w:rsidRDefault="00F27423" w:rsidP="005D1BB6">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Ciment de Mauritanie fournit trois types de ciment : ciment 42.5, ciment 32.5 et ciment CHF. La proportion de clinker est de 65% pour le ciment 42.5 et de 70% pour le type 32.5. Le coquillage (20%) et le gypse (25%) sont les principaux constituants utilisés dans le procédé industriel de fabrication du ciment proposé par Ciment de Mauritanie.</w:t>
      </w:r>
    </w:p>
    <w:p w14:paraId="539ACCBE" w14:textId="77777777" w:rsidR="00F27423" w:rsidRPr="00915B33" w:rsidRDefault="00F27423" w:rsidP="005D1BB6">
      <w:pPr>
        <w:spacing w:line="360" w:lineRule="auto"/>
        <w:jc w:val="both"/>
        <w:rPr>
          <w:rFonts w:ascii="Times New Roman" w:hAnsi="Times New Roman" w:cs="Times New Roman"/>
          <w:b/>
          <w:color w:val="000000" w:themeColor="text1"/>
        </w:rPr>
      </w:pPr>
      <w:r w:rsidRPr="00915B33">
        <w:rPr>
          <w:rFonts w:ascii="Times New Roman" w:hAnsi="Times New Roman" w:cs="Times New Roman"/>
          <w:color w:val="000000" w:themeColor="text1"/>
        </w:rPr>
        <w:t>La production annuelle de la doyenne des cimenteries mauritaniennes a évolué dans le temps. Jusqu’en 2004, elle était de 12000 T/mois, soit 144 000 T/an. La mise en service de deux nouveaux broyeurs à partir de 2004 permet de porter la production à une capacité de 900 000 T/an. Ciment de Mauritanie emploie 214 personnes.</w:t>
      </w:r>
    </w:p>
    <w:p w14:paraId="2DA7FD17" w14:textId="77777777" w:rsidR="00F27423" w:rsidRPr="00915B33" w:rsidRDefault="00F27423" w:rsidP="00BC2557">
      <w:pPr>
        <w:pStyle w:val="Sous-titre"/>
        <w:numPr>
          <w:ilvl w:val="0"/>
          <w:numId w:val="28"/>
        </w:numPr>
        <w:outlineLvl w:val="2"/>
      </w:pPr>
      <w:bookmarkStart w:id="27" w:name="_Toc157935472"/>
      <w:r w:rsidRPr="00915B33">
        <w:t>Mauritano-française de ciment (MAFCI)</w:t>
      </w:r>
      <w:bookmarkEnd w:id="27"/>
    </w:p>
    <w:p w14:paraId="20A5386B" w14:textId="77777777" w:rsidR="00F27423" w:rsidRPr="00915B33" w:rsidRDefault="00F27423" w:rsidP="005D1BB6">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Créée en 1995, MAFCI entame ses activités de production en 2000 et met ainsi fin au monopole détenu</w:t>
      </w:r>
      <w:r w:rsidR="00020862" w:rsidRPr="00915B33">
        <w:rPr>
          <w:rFonts w:ascii="Times New Roman" w:hAnsi="Times New Roman" w:cs="Times New Roman"/>
          <w:color w:val="000000" w:themeColor="text1"/>
        </w:rPr>
        <w:t>,</w:t>
      </w:r>
      <w:r w:rsidRPr="00915B33">
        <w:rPr>
          <w:rFonts w:ascii="Times New Roman" w:hAnsi="Times New Roman" w:cs="Times New Roman"/>
          <w:color w:val="000000" w:themeColor="text1"/>
        </w:rPr>
        <w:t xml:space="preserve"> jusque-là</w:t>
      </w:r>
      <w:r w:rsidR="00020862" w:rsidRPr="00915B33">
        <w:rPr>
          <w:rFonts w:ascii="Times New Roman" w:hAnsi="Times New Roman" w:cs="Times New Roman"/>
          <w:color w:val="000000" w:themeColor="text1"/>
        </w:rPr>
        <w:t>,</w:t>
      </w:r>
      <w:r w:rsidRPr="00915B33">
        <w:rPr>
          <w:rFonts w:ascii="Times New Roman" w:hAnsi="Times New Roman" w:cs="Times New Roman"/>
          <w:color w:val="000000" w:themeColor="text1"/>
        </w:rPr>
        <w:t xml:space="preserve"> par Ciment de Mauritanie. L’entrée en matière de MAFCI permet de doubler la production nationale qui atteint ainsi 288 000 T/an. </w:t>
      </w:r>
    </w:p>
    <w:p w14:paraId="7D722B45" w14:textId="77777777" w:rsidR="00F27423" w:rsidRPr="00915B33" w:rsidRDefault="00F27423" w:rsidP="005D1BB6">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La MAFCI fabrique et commercialise plusieurs types de ciment :</w:t>
      </w:r>
    </w:p>
    <w:p w14:paraId="1FF3046F" w14:textId="4E97EA5F" w:rsidR="00F27423" w:rsidRPr="00915B33" w:rsidRDefault="007E31B8" w:rsidP="005D1BB6">
      <w:pPr>
        <w:pStyle w:val="Paragraphedeliste1"/>
        <w:numPr>
          <w:ilvl w:val="0"/>
          <w:numId w:val="7"/>
        </w:num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Ciment</w:t>
      </w:r>
      <w:r w:rsidR="00F27423" w:rsidRPr="00915B33">
        <w:rPr>
          <w:rFonts w:ascii="Times New Roman" w:hAnsi="Times New Roman" w:cs="Times New Roman"/>
          <w:color w:val="000000" w:themeColor="text1"/>
        </w:rPr>
        <w:t xml:space="preserve"> CEM I 42.5 R SR5 de type portland constitué de 97% de clinker et 3% de gypse ;</w:t>
      </w:r>
    </w:p>
    <w:p w14:paraId="48FDCE4C" w14:textId="6D88977E" w:rsidR="00F27423" w:rsidRPr="00915B33" w:rsidRDefault="007E31B8" w:rsidP="005D1BB6">
      <w:pPr>
        <w:pStyle w:val="Paragraphedeliste1"/>
        <w:numPr>
          <w:ilvl w:val="0"/>
          <w:numId w:val="7"/>
        </w:num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Ciment</w:t>
      </w:r>
      <w:r w:rsidR="00F27423" w:rsidRPr="00915B33">
        <w:rPr>
          <w:rFonts w:ascii="Times New Roman" w:hAnsi="Times New Roman" w:cs="Times New Roman"/>
          <w:color w:val="000000" w:themeColor="text1"/>
        </w:rPr>
        <w:t xml:space="preserve"> CEM III/A 42.5 SN PM-ES formé de 36% de clinker et 61% du lait de haut fourneau ;</w:t>
      </w:r>
    </w:p>
    <w:p w14:paraId="4BE00762" w14:textId="0B2E7140" w:rsidR="00F27423" w:rsidRPr="00915B33" w:rsidRDefault="007E31B8" w:rsidP="005D1BB6">
      <w:pPr>
        <w:pStyle w:val="Paragraphedeliste1"/>
        <w:numPr>
          <w:ilvl w:val="0"/>
          <w:numId w:val="7"/>
        </w:num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Ciment</w:t>
      </w:r>
      <w:r w:rsidR="00F27423" w:rsidRPr="00915B33">
        <w:rPr>
          <w:rFonts w:ascii="Times New Roman" w:hAnsi="Times New Roman" w:cs="Times New Roman"/>
          <w:color w:val="000000" w:themeColor="text1"/>
        </w:rPr>
        <w:t xml:space="preserve"> CEM I 52.5 N PM-</w:t>
      </w:r>
      <w:r w:rsidR="002104C3" w:rsidRPr="00915B33">
        <w:rPr>
          <w:rFonts w:ascii="Times New Roman" w:hAnsi="Times New Roman" w:cs="Times New Roman"/>
          <w:color w:val="000000" w:themeColor="text1"/>
        </w:rPr>
        <w:t>ES CP</w:t>
      </w:r>
      <w:r w:rsidR="00F27423" w:rsidRPr="00915B33">
        <w:rPr>
          <w:rFonts w:ascii="Times New Roman" w:hAnsi="Times New Roman" w:cs="Times New Roman"/>
          <w:color w:val="000000" w:themeColor="text1"/>
        </w:rPr>
        <w:t xml:space="preserve">2 portland produit avec 97% de clinker </w:t>
      </w:r>
      <w:proofErr w:type="gramStart"/>
      <w:r w:rsidR="00F27423" w:rsidRPr="00915B33">
        <w:rPr>
          <w:rFonts w:ascii="Times New Roman" w:hAnsi="Times New Roman" w:cs="Times New Roman"/>
          <w:color w:val="000000" w:themeColor="text1"/>
        </w:rPr>
        <w:t>et  de</w:t>
      </w:r>
      <w:proofErr w:type="gramEnd"/>
      <w:r w:rsidR="00F27423" w:rsidRPr="00915B33">
        <w:rPr>
          <w:rFonts w:ascii="Times New Roman" w:hAnsi="Times New Roman" w:cs="Times New Roman"/>
          <w:color w:val="000000" w:themeColor="text1"/>
        </w:rPr>
        <w:t xml:space="preserve"> gypse ;</w:t>
      </w:r>
    </w:p>
    <w:p w14:paraId="6C882945" w14:textId="17EBA692" w:rsidR="00F27423" w:rsidRPr="00915B33" w:rsidRDefault="007E31B8" w:rsidP="005D1BB6">
      <w:pPr>
        <w:pStyle w:val="Paragraphedeliste1"/>
        <w:numPr>
          <w:ilvl w:val="0"/>
          <w:numId w:val="7"/>
        </w:num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Ciment</w:t>
      </w:r>
      <w:r w:rsidR="00F27423" w:rsidRPr="00915B33">
        <w:rPr>
          <w:rFonts w:ascii="Times New Roman" w:hAnsi="Times New Roman" w:cs="Times New Roman"/>
          <w:color w:val="000000" w:themeColor="text1"/>
        </w:rPr>
        <w:t xml:space="preserve"> CEM II/B-L 32.5 R (CE) portland, qui résulte d’un mélange clinker, de calcaire et de gypse.</w:t>
      </w:r>
    </w:p>
    <w:p w14:paraId="3EA420C5" w14:textId="77777777" w:rsidR="00F27423" w:rsidRPr="00915B33" w:rsidRDefault="00D67BB1" w:rsidP="00BC2557">
      <w:pPr>
        <w:pStyle w:val="Sous-titre"/>
        <w:numPr>
          <w:ilvl w:val="0"/>
          <w:numId w:val="28"/>
        </w:numPr>
        <w:outlineLvl w:val="2"/>
      </w:pPr>
      <w:bookmarkStart w:id="28" w:name="_Toc157935473"/>
      <w:r w:rsidRPr="00915B33">
        <w:t>Mauricim</w:t>
      </w:r>
      <w:bookmarkEnd w:id="28"/>
    </w:p>
    <w:p w14:paraId="398A0434" w14:textId="77777777" w:rsidR="00F27423" w:rsidRPr="00915B33" w:rsidRDefault="00D67BB1" w:rsidP="005D1BB6">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Mauricim est la nouvelle entreprise qui a remplacée </w:t>
      </w:r>
      <w:r w:rsidR="00F27423" w:rsidRPr="00915B33">
        <w:rPr>
          <w:rFonts w:ascii="Times New Roman" w:hAnsi="Times New Roman" w:cs="Times New Roman"/>
          <w:color w:val="000000" w:themeColor="text1"/>
        </w:rPr>
        <w:t>BSA Ciment</w:t>
      </w:r>
      <w:r w:rsidRPr="00915B33">
        <w:rPr>
          <w:rFonts w:ascii="Times New Roman" w:hAnsi="Times New Roman" w:cs="Times New Roman"/>
          <w:color w:val="000000" w:themeColor="text1"/>
        </w:rPr>
        <w:t>. Cette dernière a été rachetée par l</w:t>
      </w:r>
      <w:r w:rsidRPr="00915B33">
        <w:rPr>
          <w:rFonts w:ascii="&amp;quot" w:hAnsi="&amp;quot"/>
          <w:color w:val="000000" w:themeColor="text1"/>
        </w:rPr>
        <w:t xml:space="preserve">e groupe cimentier français Vicat. </w:t>
      </w:r>
      <w:r w:rsidR="00D848DD" w:rsidRPr="00915B33">
        <w:rPr>
          <w:rFonts w:ascii="&amp;quot" w:hAnsi="&amp;quot"/>
          <w:color w:val="000000" w:themeColor="text1"/>
        </w:rPr>
        <w:t xml:space="preserve">Rappelons que BSA Ciment fut créée </w:t>
      </w:r>
      <w:r w:rsidR="00F27423" w:rsidRPr="00915B33">
        <w:rPr>
          <w:rFonts w:ascii="Times New Roman" w:hAnsi="Times New Roman" w:cs="Times New Roman"/>
          <w:color w:val="000000" w:themeColor="text1"/>
        </w:rPr>
        <w:t>en 2005</w:t>
      </w:r>
      <w:r w:rsidR="00D848DD" w:rsidRPr="00915B33">
        <w:rPr>
          <w:rFonts w:ascii="Times New Roman" w:hAnsi="Times New Roman" w:cs="Times New Roman"/>
          <w:color w:val="000000" w:themeColor="text1"/>
        </w:rPr>
        <w:t>, que ses activités ont démarré en</w:t>
      </w:r>
      <w:r w:rsidR="00F27423" w:rsidRPr="00915B33">
        <w:rPr>
          <w:rFonts w:ascii="Times New Roman" w:hAnsi="Times New Roman" w:cs="Times New Roman"/>
          <w:color w:val="000000" w:themeColor="text1"/>
        </w:rPr>
        <w:t xml:space="preserve"> 2008</w:t>
      </w:r>
      <w:r w:rsidR="00D848DD" w:rsidRPr="00915B33">
        <w:rPr>
          <w:rFonts w:ascii="Times New Roman" w:hAnsi="Times New Roman" w:cs="Times New Roman"/>
          <w:color w:val="000000" w:themeColor="text1"/>
        </w:rPr>
        <w:t xml:space="preserve"> et que soixante-dix (70) employés assure une </w:t>
      </w:r>
      <w:r w:rsidR="00F27423" w:rsidRPr="00915B33">
        <w:rPr>
          <w:rFonts w:ascii="Times New Roman" w:hAnsi="Times New Roman" w:cs="Times New Roman"/>
          <w:color w:val="000000" w:themeColor="text1"/>
        </w:rPr>
        <w:t xml:space="preserve">production annuelle </w:t>
      </w:r>
      <w:r w:rsidR="00D848DD" w:rsidRPr="00915B33">
        <w:rPr>
          <w:rFonts w:ascii="Times New Roman" w:hAnsi="Times New Roman" w:cs="Times New Roman"/>
          <w:color w:val="000000" w:themeColor="text1"/>
        </w:rPr>
        <w:t>est de 450 000 tonnes (T)</w:t>
      </w:r>
      <w:r w:rsidR="00F27423" w:rsidRPr="00915B33">
        <w:rPr>
          <w:rFonts w:ascii="Times New Roman" w:hAnsi="Times New Roman" w:cs="Times New Roman"/>
          <w:color w:val="000000" w:themeColor="text1"/>
        </w:rPr>
        <w:t xml:space="preserve">. </w:t>
      </w:r>
    </w:p>
    <w:p w14:paraId="7ED0022C" w14:textId="0FBB6AD6" w:rsidR="00F27423" w:rsidRPr="00915B33" w:rsidRDefault="00446415" w:rsidP="005D1BB6">
      <w:pPr>
        <w:spacing w:line="360" w:lineRule="auto"/>
        <w:jc w:val="both"/>
        <w:rPr>
          <w:rFonts w:ascii="Times New Roman" w:hAnsi="Times New Roman" w:cs="Times New Roman"/>
          <w:b/>
          <w:color w:val="000000" w:themeColor="text1"/>
        </w:rPr>
      </w:pPr>
      <w:r w:rsidRPr="00915B33">
        <w:rPr>
          <w:rFonts w:ascii="Times New Roman" w:hAnsi="Times New Roman" w:cs="Times New Roman"/>
          <w:color w:val="000000" w:themeColor="text1"/>
        </w:rPr>
        <w:t>Mauricim</w:t>
      </w:r>
      <w:r w:rsidR="002104C3">
        <w:rPr>
          <w:rFonts w:ascii="Times New Roman" w:hAnsi="Times New Roman" w:cs="Times New Roman"/>
          <w:color w:val="000000" w:themeColor="text1"/>
        </w:rPr>
        <w:t xml:space="preserve"> </w:t>
      </w:r>
      <w:r w:rsidR="00F27423" w:rsidRPr="00915B33">
        <w:rPr>
          <w:rFonts w:ascii="Times New Roman" w:hAnsi="Times New Roman" w:cs="Times New Roman"/>
          <w:color w:val="000000" w:themeColor="text1"/>
        </w:rPr>
        <w:t>met sur le marché deux types de produit : le ciment 32.5 et le ciment 42.5. Le contenu en clinker est respectivement de 68% et 80%. Le processus de fabrication comporte à l’ajout de 5% de gypse et 15% de coquillages.</w:t>
      </w:r>
    </w:p>
    <w:p w14:paraId="7DE50C54" w14:textId="77777777" w:rsidR="00F27423" w:rsidRPr="00915B33" w:rsidRDefault="00F27423" w:rsidP="005D1BB6">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Deux nouvelles entreprises, "Compagnie National de Ciment" (CNC) et "Chinguetty Ciment", ont été nouvellement créées. La CNC est la seule entreprise basée hors de Nouakchott. Elle a pris ses quartiers dans la zone portuaire de la capitale économique, Nouadhibou, où elle a entamé ses activités de production en 2015.</w:t>
      </w:r>
    </w:p>
    <w:p w14:paraId="5716E920" w14:textId="77777777" w:rsidR="00EB328B" w:rsidRPr="00915B33" w:rsidRDefault="00EB328B" w:rsidP="00BC2557">
      <w:pPr>
        <w:pStyle w:val="Sous-titre"/>
        <w:numPr>
          <w:ilvl w:val="0"/>
          <w:numId w:val="28"/>
        </w:numPr>
        <w:outlineLvl w:val="2"/>
      </w:pPr>
      <w:bookmarkStart w:id="29" w:name="_Toc157935474"/>
      <w:r w:rsidRPr="00915B33">
        <w:t>Ciment du Sahel</w:t>
      </w:r>
      <w:bookmarkEnd w:id="29"/>
    </w:p>
    <w:p w14:paraId="24FA5F25" w14:textId="77777777" w:rsidR="00E8637A" w:rsidRPr="00915B33" w:rsidRDefault="00E8637A" w:rsidP="005D1BB6">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Ciments du Sahel</w:t>
      </w:r>
      <w:r w:rsidR="002F1EFE" w:rsidRPr="00915B33">
        <w:rPr>
          <w:rFonts w:ascii="Times New Roman" w:hAnsi="Times New Roman" w:cs="Times New Roman"/>
          <w:color w:val="000000" w:themeColor="text1"/>
        </w:rPr>
        <w:t xml:space="preserve">, </w:t>
      </w:r>
      <w:r w:rsidR="004E231F" w:rsidRPr="00915B33">
        <w:rPr>
          <w:rFonts w:ascii="Times New Roman" w:hAnsi="Times New Roman" w:cs="Times New Roman"/>
          <w:color w:val="000000" w:themeColor="text1"/>
        </w:rPr>
        <w:t xml:space="preserve">une </w:t>
      </w:r>
      <w:r w:rsidR="002F1EFE" w:rsidRPr="00915B33">
        <w:rPr>
          <w:rFonts w:ascii="Times New Roman" w:hAnsi="Times New Roman" w:cs="Times New Roman"/>
          <w:color w:val="000000" w:themeColor="text1"/>
        </w:rPr>
        <w:t>société sénégalaise</w:t>
      </w:r>
      <w:r w:rsidRPr="00915B33">
        <w:rPr>
          <w:rFonts w:ascii="Times New Roman" w:hAnsi="Times New Roman" w:cs="Times New Roman"/>
          <w:color w:val="000000" w:themeColor="text1"/>
        </w:rPr>
        <w:t xml:space="preserve"> une filiale du marocain </w:t>
      </w:r>
      <w:r w:rsidRPr="00915B33">
        <w:rPr>
          <w:rFonts w:ascii="Times New Roman" w:hAnsi="Times New Roman" w:cs="Times New Roman"/>
          <w:i/>
          <w:color w:val="000000" w:themeColor="text1"/>
        </w:rPr>
        <w:t>Ciment de l’Afrique</w:t>
      </w:r>
      <w:r w:rsidR="004E231F" w:rsidRPr="00915B33">
        <w:rPr>
          <w:rFonts w:ascii="Times New Roman" w:hAnsi="Times New Roman" w:cs="Times New Roman"/>
          <w:i/>
          <w:color w:val="000000" w:themeColor="text1"/>
        </w:rPr>
        <w:t>,</w:t>
      </w:r>
      <w:r w:rsidRPr="00915B33">
        <w:rPr>
          <w:rFonts w:ascii="Times New Roman" w:hAnsi="Times New Roman" w:cs="Times New Roman"/>
          <w:color w:val="000000" w:themeColor="text1"/>
        </w:rPr>
        <w:t xml:space="preserve"> </w:t>
      </w:r>
      <w:r w:rsidR="004E231F" w:rsidRPr="00915B33">
        <w:rPr>
          <w:rFonts w:ascii="Times New Roman" w:hAnsi="Times New Roman" w:cs="Times New Roman"/>
          <w:color w:val="000000" w:themeColor="text1"/>
        </w:rPr>
        <w:t>s’</w:t>
      </w:r>
      <w:r w:rsidRPr="00915B33">
        <w:rPr>
          <w:rFonts w:ascii="Times New Roman" w:hAnsi="Times New Roman" w:cs="Times New Roman"/>
          <w:color w:val="000000" w:themeColor="text1"/>
        </w:rPr>
        <w:t xml:space="preserve">est installée à </w:t>
      </w:r>
      <w:r w:rsidR="004E231F" w:rsidRPr="00915B33">
        <w:rPr>
          <w:rFonts w:ascii="Times New Roman" w:hAnsi="Times New Roman" w:cs="Times New Roman"/>
          <w:color w:val="000000" w:themeColor="text1"/>
        </w:rPr>
        <w:t xml:space="preserve">Nouakchott après avoir obtenu l’autorisation du gouvernement mauritanien en 2016, L’entreprise a réalisé </w:t>
      </w:r>
      <w:r w:rsidRPr="00915B33">
        <w:rPr>
          <w:rFonts w:ascii="Times New Roman" w:hAnsi="Times New Roman" w:cs="Times New Roman"/>
          <w:color w:val="000000" w:themeColor="text1"/>
        </w:rPr>
        <w:t>un investissement de 27,118 millions d’euros</w:t>
      </w:r>
      <w:r w:rsidR="004E231F" w:rsidRPr="00915B33">
        <w:rPr>
          <w:rFonts w:ascii="Times New Roman" w:hAnsi="Times New Roman" w:cs="Times New Roman"/>
          <w:color w:val="000000" w:themeColor="text1"/>
        </w:rPr>
        <w:t>, soit 9,5 milliards d’ouguiyas, qui devrait permettre de créer 300 emplois dont 72 permanents,</w:t>
      </w:r>
    </w:p>
    <w:p w14:paraId="3420E536" w14:textId="3313A0F2" w:rsidR="004E231F" w:rsidRPr="00915B33" w:rsidRDefault="004E231F" w:rsidP="005D1BB6">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Ciments du Sahel met dans le </w:t>
      </w:r>
      <w:r w:rsidR="007E31B8" w:rsidRPr="00915B33">
        <w:rPr>
          <w:rFonts w:ascii="Times New Roman" w:hAnsi="Times New Roman" w:cs="Times New Roman"/>
          <w:color w:val="000000" w:themeColor="text1"/>
        </w:rPr>
        <w:t>marché</w:t>
      </w:r>
      <w:r w:rsidRPr="00915B33">
        <w:rPr>
          <w:rFonts w:ascii="Times New Roman" w:hAnsi="Times New Roman" w:cs="Times New Roman"/>
          <w:color w:val="000000" w:themeColor="text1"/>
        </w:rPr>
        <w:t xml:space="preserve"> deux type de ciment CEM II/B-L 32.5 R et CEM II/A-L 42.5 R</w:t>
      </w:r>
      <w:r w:rsidR="002C2A37" w:rsidRPr="00915B33">
        <w:rPr>
          <w:rFonts w:ascii="Times New Roman" w:hAnsi="Times New Roman" w:cs="Times New Roman"/>
          <w:color w:val="000000" w:themeColor="text1"/>
        </w:rPr>
        <w:t>, Le premier est adapté aux travaux courants de rénovation, dallages, chapes, montage de murs, (blocs béton, briques, pierres), enduits de façades, mortiers pour la pose de carrelages, et fondations superficielles.</w:t>
      </w:r>
      <w:r w:rsidR="00B16CFD" w:rsidRPr="00915B33">
        <w:rPr>
          <w:rFonts w:ascii="Times New Roman" w:hAnsi="Times New Roman" w:cs="Times New Roman"/>
          <w:color w:val="000000" w:themeColor="text1"/>
        </w:rPr>
        <w:t xml:space="preserve"> Le second, composé de 85% de clinker, convient aux travaux de structures, travaux courants en béton et fabrication de briques ainsi que qu’aux tâches de mise en place de dallages ou de sols industriels, de bétons préfabriqués, de bétons armés ou précontraints, de bétons en élévations, etc.</w:t>
      </w:r>
    </w:p>
    <w:p w14:paraId="6D060921" w14:textId="0E421F50" w:rsidR="00F27423" w:rsidRPr="00915B33" w:rsidRDefault="00F27423" w:rsidP="00BC2557">
      <w:pPr>
        <w:pStyle w:val="Sous-titre"/>
        <w:numPr>
          <w:ilvl w:val="0"/>
          <w:numId w:val="27"/>
        </w:numPr>
        <w:outlineLvl w:val="1"/>
      </w:pPr>
      <w:bookmarkStart w:id="30" w:name="_Toc489388299"/>
      <w:bookmarkStart w:id="31" w:name="_Toc157935475"/>
      <w:r w:rsidRPr="00915B33">
        <w:t>2BL’industrie chimique</w:t>
      </w:r>
      <w:bookmarkEnd w:id="30"/>
      <w:bookmarkEnd w:id="31"/>
    </w:p>
    <w:p w14:paraId="6BFB7933" w14:textId="3E1B2526" w:rsidR="008E4A7A" w:rsidRPr="00915B33" w:rsidRDefault="008E4A7A" w:rsidP="005D1BB6">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Depuis 2015, la SAFA collabore répond favorablement lorsqu’elle est </w:t>
      </w:r>
      <w:r w:rsidR="00DB771D" w:rsidRPr="00915B33">
        <w:rPr>
          <w:rFonts w:ascii="Times New Roman" w:hAnsi="Times New Roman" w:cs="Times New Roman"/>
          <w:color w:val="000000" w:themeColor="text1"/>
        </w:rPr>
        <w:t>sollicitée</w:t>
      </w:r>
      <w:r w:rsidRPr="00915B33">
        <w:rPr>
          <w:rFonts w:ascii="Times New Roman" w:hAnsi="Times New Roman" w:cs="Times New Roman"/>
          <w:color w:val="000000" w:themeColor="text1"/>
        </w:rPr>
        <w:t xml:space="preserve"> pour fourni ses données de production dans le cadre des communications. </w:t>
      </w:r>
      <w:r w:rsidR="00DB771D" w:rsidRPr="00915B33">
        <w:rPr>
          <w:rFonts w:ascii="Times New Roman" w:hAnsi="Times New Roman" w:cs="Times New Roman"/>
          <w:color w:val="000000" w:themeColor="text1"/>
        </w:rPr>
        <w:t xml:space="preserve">Ces données proviennent directement de son laboratoire. </w:t>
      </w:r>
      <w:r w:rsidRPr="00915B33">
        <w:rPr>
          <w:rFonts w:ascii="Times New Roman" w:hAnsi="Times New Roman" w:cs="Times New Roman"/>
          <w:color w:val="000000" w:themeColor="text1"/>
        </w:rPr>
        <w:t xml:space="preserve"> </w:t>
      </w:r>
    </w:p>
    <w:p w14:paraId="5C692CB1" w14:textId="43297DCA" w:rsidR="00F27423" w:rsidRPr="00915B33" w:rsidRDefault="00F27423" w:rsidP="00A32158">
      <w:pPr>
        <w:jc w:val="center"/>
        <w:rPr>
          <w:rFonts w:ascii="Times New Roman" w:eastAsia="Times New Roman" w:hAnsi="Times New Roman" w:cs="Times New Roman"/>
          <w:b/>
          <w:color w:val="000000" w:themeColor="text1"/>
          <w:lang w:eastAsia="fr-FR"/>
        </w:rPr>
      </w:pPr>
      <w:r w:rsidRPr="00915B33">
        <w:rPr>
          <w:rFonts w:ascii="Times New Roman" w:hAnsi="Times New Roman" w:cs="Times New Roman"/>
          <w:b/>
          <w:color w:val="000000" w:themeColor="text1"/>
        </w:rPr>
        <w:t>Tableau </w:t>
      </w:r>
      <w:r w:rsidR="009D1B65" w:rsidRPr="00915B33">
        <w:rPr>
          <w:rFonts w:ascii="Times New Roman" w:hAnsi="Times New Roman" w:cs="Times New Roman"/>
          <w:b/>
          <w:color w:val="000000" w:themeColor="text1"/>
        </w:rPr>
        <w:t>6</w:t>
      </w:r>
      <w:r w:rsidRPr="00915B33">
        <w:rPr>
          <w:rFonts w:ascii="Times New Roman" w:hAnsi="Times New Roman" w:cs="Times New Roman"/>
          <w:b/>
          <w:color w:val="000000" w:themeColor="text1"/>
        </w:rPr>
        <w:t xml:space="preserve"> : </w:t>
      </w:r>
      <w:r w:rsidR="00B60BF5" w:rsidRPr="00915B33">
        <w:rPr>
          <w:rFonts w:ascii="Times New Roman" w:hAnsi="Times New Roman" w:cs="Times New Roman"/>
          <w:bCs/>
          <w:color w:val="000000" w:themeColor="text1"/>
        </w:rPr>
        <w:t>P</w:t>
      </w:r>
      <w:r w:rsidRPr="00915B33">
        <w:rPr>
          <w:rFonts w:ascii="Times New Roman" w:hAnsi="Times New Roman" w:cs="Times New Roman"/>
          <w:color w:val="000000" w:themeColor="text1"/>
        </w:rPr>
        <w:t>résence en Mauritanie des sous-catégories de l’Industrie chimique</w:t>
      </w:r>
    </w:p>
    <w:tbl>
      <w:tblPr>
        <w:tblStyle w:val="TableauGrille2-Accentuation61"/>
        <w:tblW w:w="0" w:type="auto"/>
        <w:tblLayout w:type="fixed"/>
        <w:tblLook w:val="0000" w:firstRow="0" w:lastRow="0" w:firstColumn="0" w:lastColumn="0" w:noHBand="0" w:noVBand="0"/>
      </w:tblPr>
      <w:tblGrid>
        <w:gridCol w:w="5117"/>
        <w:gridCol w:w="2722"/>
      </w:tblGrid>
      <w:tr w:rsidR="00915B33" w:rsidRPr="00915B33" w14:paraId="5AF7287F" w14:textId="77777777" w:rsidTr="00331AB4">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7839" w:type="dxa"/>
            <w:gridSpan w:val="2"/>
          </w:tcPr>
          <w:p w14:paraId="49E46B5A" w14:textId="77777777" w:rsidR="00F27423" w:rsidRPr="00915B33" w:rsidRDefault="00F27423" w:rsidP="00A32158">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Catégorie : 2B Industrie chimique</w:t>
            </w:r>
          </w:p>
        </w:tc>
      </w:tr>
      <w:tr w:rsidR="00915B33" w:rsidRPr="00915B33" w14:paraId="0CE0CBFF" w14:textId="77777777" w:rsidTr="00331AB4">
        <w:trPr>
          <w:trHeight w:val="300"/>
        </w:trPr>
        <w:tc>
          <w:tcPr>
            <w:cnfStyle w:val="000010000000" w:firstRow="0" w:lastRow="0" w:firstColumn="0" w:lastColumn="0" w:oddVBand="1" w:evenVBand="0" w:oddHBand="0" w:evenHBand="0" w:firstRowFirstColumn="0" w:firstRowLastColumn="0" w:lastRowFirstColumn="0" w:lastRowLastColumn="0"/>
            <w:tcW w:w="5117" w:type="dxa"/>
          </w:tcPr>
          <w:p w14:paraId="56D970F1" w14:textId="77777777" w:rsidR="00F27423" w:rsidRPr="00915B33" w:rsidRDefault="00F27423" w:rsidP="00A32158">
            <w:pPr>
              <w:spacing w:line="240" w:lineRule="auto"/>
              <w:jc w:val="center"/>
              <w:rPr>
                <w:rFonts w:ascii="Times New Roman" w:eastAsia="Times New Roman" w:hAnsi="Times New Roman" w:cs="Times New Roman"/>
                <w:b/>
                <w:color w:val="000000" w:themeColor="text1"/>
                <w:lang w:eastAsia="fr-FR"/>
              </w:rPr>
            </w:pPr>
          </w:p>
        </w:tc>
        <w:tc>
          <w:tcPr>
            <w:tcW w:w="2722" w:type="dxa"/>
          </w:tcPr>
          <w:p w14:paraId="6ECEC176" w14:textId="77777777" w:rsidR="00F27423" w:rsidRPr="00915B33" w:rsidRDefault="00F27423" w:rsidP="00A321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lang w:eastAsia="fr-FR"/>
              </w:rPr>
            </w:pPr>
          </w:p>
        </w:tc>
      </w:tr>
      <w:tr w:rsidR="00915B33" w:rsidRPr="00915B33" w14:paraId="1A15CB88" w14:textId="77777777" w:rsidTr="00331AB4">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117" w:type="dxa"/>
          </w:tcPr>
          <w:p w14:paraId="26FEC07E" w14:textId="77777777" w:rsidR="00F27423" w:rsidRPr="00915B33" w:rsidRDefault="00F27423" w:rsidP="00A32158">
            <w:pPr>
              <w:spacing w:line="240" w:lineRule="auto"/>
              <w:jc w:val="center"/>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Sous-catégories</w:t>
            </w:r>
          </w:p>
        </w:tc>
        <w:tc>
          <w:tcPr>
            <w:tcW w:w="2722" w:type="dxa"/>
          </w:tcPr>
          <w:p w14:paraId="162B66DC" w14:textId="77777777" w:rsidR="00F27423" w:rsidRPr="00915B33" w:rsidRDefault="00F27423" w:rsidP="00A321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Présence en Mauritanie</w:t>
            </w:r>
          </w:p>
        </w:tc>
      </w:tr>
      <w:tr w:rsidR="00915B33" w:rsidRPr="00915B33" w14:paraId="06A75BAA" w14:textId="77777777" w:rsidTr="00331AB4">
        <w:trPr>
          <w:trHeight w:val="300"/>
        </w:trPr>
        <w:tc>
          <w:tcPr>
            <w:cnfStyle w:val="000010000000" w:firstRow="0" w:lastRow="0" w:firstColumn="0" w:lastColumn="0" w:oddVBand="1" w:evenVBand="0" w:oddHBand="0" w:evenHBand="0" w:firstRowFirstColumn="0" w:firstRowLastColumn="0" w:lastRowFirstColumn="0" w:lastRowLastColumn="0"/>
            <w:tcW w:w="5117" w:type="dxa"/>
          </w:tcPr>
          <w:p w14:paraId="512DF06E" w14:textId="77777777" w:rsidR="00F27423" w:rsidRPr="00915B33" w:rsidRDefault="00F27423" w:rsidP="006551D1">
            <w:pPr>
              <w:spacing w:line="240" w:lineRule="auto"/>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2B1. Ammoniac</w:t>
            </w:r>
          </w:p>
        </w:tc>
        <w:tc>
          <w:tcPr>
            <w:tcW w:w="2722" w:type="dxa"/>
          </w:tcPr>
          <w:p w14:paraId="6A6D857F" w14:textId="77777777" w:rsidR="00F27423" w:rsidRPr="00915B33" w:rsidRDefault="00F27423" w:rsidP="00A321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5230A896" w14:textId="77777777" w:rsidTr="00331AB4">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117" w:type="dxa"/>
          </w:tcPr>
          <w:p w14:paraId="5D744C44" w14:textId="77777777" w:rsidR="00F27423" w:rsidRPr="00915B33" w:rsidRDefault="00F27423" w:rsidP="006551D1">
            <w:pPr>
              <w:spacing w:line="240" w:lineRule="auto"/>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2B2. Acide nitrique</w:t>
            </w:r>
          </w:p>
        </w:tc>
        <w:tc>
          <w:tcPr>
            <w:tcW w:w="2722" w:type="dxa"/>
          </w:tcPr>
          <w:p w14:paraId="519EBFCB" w14:textId="77777777" w:rsidR="00F27423" w:rsidRPr="00915B33" w:rsidRDefault="00F27423" w:rsidP="00A321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7077B687" w14:textId="77777777" w:rsidTr="00331AB4">
        <w:trPr>
          <w:trHeight w:val="300"/>
        </w:trPr>
        <w:tc>
          <w:tcPr>
            <w:cnfStyle w:val="000010000000" w:firstRow="0" w:lastRow="0" w:firstColumn="0" w:lastColumn="0" w:oddVBand="1" w:evenVBand="0" w:oddHBand="0" w:evenHBand="0" w:firstRowFirstColumn="0" w:firstRowLastColumn="0" w:lastRowFirstColumn="0" w:lastRowLastColumn="0"/>
            <w:tcW w:w="5117" w:type="dxa"/>
          </w:tcPr>
          <w:p w14:paraId="2FC0542A" w14:textId="77777777" w:rsidR="00F27423" w:rsidRPr="00915B33" w:rsidRDefault="00F27423" w:rsidP="006551D1">
            <w:pPr>
              <w:spacing w:line="240" w:lineRule="auto"/>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2B3.Acide adipique</w:t>
            </w:r>
          </w:p>
        </w:tc>
        <w:tc>
          <w:tcPr>
            <w:tcW w:w="2722" w:type="dxa"/>
          </w:tcPr>
          <w:p w14:paraId="0069A8A7" w14:textId="77777777" w:rsidR="00F27423" w:rsidRPr="00915B33" w:rsidRDefault="00F27423" w:rsidP="00A321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5BA625EF" w14:textId="77777777" w:rsidTr="00331AB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117" w:type="dxa"/>
          </w:tcPr>
          <w:p w14:paraId="3BA24B29" w14:textId="77777777" w:rsidR="00F27423" w:rsidRPr="00915B33" w:rsidRDefault="00F27423" w:rsidP="006551D1">
            <w:pPr>
              <w:spacing w:line="240" w:lineRule="auto"/>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2B4. Caprolactame de glyoxal et de glyoxylique</w:t>
            </w:r>
          </w:p>
        </w:tc>
        <w:tc>
          <w:tcPr>
            <w:tcW w:w="2722" w:type="dxa"/>
          </w:tcPr>
          <w:p w14:paraId="5C2A3E55" w14:textId="77777777" w:rsidR="00F27423" w:rsidRPr="00915B33" w:rsidRDefault="00F27423" w:rsidP="00A321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482E1422" w14:textId="77777777" w:rsidTr="00331AB4">
        <w:trPr>
          <w:trHeight w:val="315"/>
        </w:trPr>
        <w:tc>
          <w:tcPr>
            <w:cnfStyle w:val="000010000000" w:firstRow="0" w:lastRow="0" w:firstColumn="0" w:lastColumn="0" w:oddVBand="1" w:evenVBand="0" w:oddHBand="0" w:evenHBand="0" w:firstRowFirstColumn="0" w:firstRowLastColumn="0" w:lastRowFirstColumn="0" w:lastRowLastColumn="0"/>
            <w:tcW w:w="5117" w:type="dxa"/>
          </w:tcPr>
          <w:p w14:paraId="100A209D" w14:textId="77777777" w:rsidR="00F27423" w:rsidRPr="00915B33" w:rsidRDefault="00F27423" w:rsidP="006551D1">
            <w:pPr>
              <w:spacing w:line="240" w:lineRule="auto"/>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2B5 Carbure</w:t>
            </w:r>
          </w:p>
        </w:tc>
        <w:tc>
          <w:tcPr>
            <w:tcW w:w="2722" w:type="dxa"/>
          </w:tcPr>
          <w:p w14:paraId="6F91D1E4"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3338131B" w14:textId="77777777" w:rsidTr="00331AB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117" w:type="dxa"/>
          </w:tcPr>
          <w:p w14:paraId="2AC74361" w14:textId="77777777" w:rsidR="00F27423" w:rsidRPr="00915B33" w:rsidRDefault="00F27423" w:rsidP="006551D1">
            <w:pPr>
              <w:spacing w:line="240" w:lineRule="auto"/>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2B6. Dioxyde de titane</w:t>
            </w:r>
          </w:p>
        </w:tc>
        <w:tc>
          <w:tcPr>
            <w:tcW w:w="2722" w:type="dxa"/>
          </w:tcPr>
          <w:p w14:paraId="3970B0B6"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50311BE7" w14:textId="77777777" w:rsidTr="00331AB4">
        <w:trPr>
          <w:trHeight w:val="315"/>
        </w:trPr>
        <w:tc>
          <w:tcPr>
            <w:cnfStyle w:val="000010000000" w:firstRow="0" w:lastRow="0" w:firstColumn="0" w:lastColumn="0" w:oddVBand="1" w:evenVBand="0" w:oddHBand="0" w:evenHBand="0" w:firstRowFirstColumn="0" w:firstRowLastColumn="0" w:lastRowFirstColumn="0" w:lastRowLastColumn="0"/>
            <w:tcW w:w="5117" w:type="dxa"/>
          </w:tcPr>
          <w:p w14:paraId="0941B63F" w14:textId="77777777" w:rsidR="00F27423" w:rsidRPr="00915B33" w:rsidRDefault="00F27423" w:rsidP="006551D1">
            <w:pPr>
              <w:spacing w:line="240" w:lineRule="auto"/>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2B7. Soude</w:t>
            </w:r>
          </w:p>
        </w:tc>
        <w:tc>
          <w:tcPr>
            <w:tcW w:w="2722" w:type="dxa"/>
          </w:tcPr>
          <w:p w14:paraId="38F954A5"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70F42DA8" w14:textId="77777777" w:rsidTr="00331AB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117" w:type="dxa"/>
          </w:tcPr>
          <w:p w14:paraId="07083E38" w14:textId="77777777" w:rsidR="00F27423" w:rsidRPr="00915B33" w:rsidRDefault="00F27423" w:rsidP="006551D1">
            <w:pPr>
              <w:spacing w:line="240" w:lineRule="auto"/>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2B8. Pétrochimique et noir de carbone</w:t>
            </w:r>
          </w:p>
        </w:tc>
        <w:tc>
          <w:tcPr>
            <w:tcW w:w="2722" w:type="dxa"/>
          </w:tcPr>
          <w:p w14:paraId="6247A0E4"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1053E304" w14:textId="77777777" w:rsidTr="00331AB4">
        <w:trPr>
          <w:trHeight w:val="315"/>
        </w:trPr>
        <w:tc>
          <w:tcPr>
            <w:cnfStyle w:val="000010000000" w:firstRow="0" w:lastRow="0" w:firstColumn="0" w:lastColumn="0" w:oddVBand="1" w:evenVBand="0" w:oddHBand="0" w:evenHBand="0" w:firstRowFirstColumn="0" w:firstRowLastColumn="0" w:lastRowFirstColumn="0" w:lastRowLastColumn="0"/>
            <w:tcW w:w="5117" w:type="dxa"/>
          </w:tcPr>
          <w:p w14:paraId="62887646" w14:textId="77777777" w:rsidR="00F27423" w:rsidRPr="00915B33" w:rsidRDefault="00F27423" w:rsidP="006551D1">
            <w:pPr>
              <w:spacing w:line="240" w:lineRule="auto"/>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2B9. Composés fluorés</w:t>
            </w:r>
          </w:p>
        </w:tc>
        <w:tc>
          <w:tcPr>
            <w:tcW w:w="2722" w:type="dxa"/>
          </w:tcPr>
          <w:p w14:paraId="282E392B"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bl>
    <w:p w14:paraId="7D38D35C" w14:textId="27963932" w:rsidR="00F27423" w:rsidRPr="00915B33" w:rsidRDefault="00F27423">
      <w:pPr>
        <w:ind w:left="360"/>
        <w:jc w:val="both"/>
        <w:rPr>
          <w:rFonts w:ascii="Times New Roman" w:hAnsi="Times New Roman" w:cs="Times New Roman"/>
          <w:b/>
          <w:color w:val="000000" w:themeColor="text1"/>
        </w:rPr>
      </w:pPr>
    </w:p>
    <w:p w14:paraId="77C870B8" w14:textId="429A7F78" w:rsidR="009D1B65" w:rsidRPr="00915B33" w:rsidRDefault="009D1B65" w:rsidP="009D1B65">
      <w:pPr>
        <w:spacing w:line="360" w:lineRule="auto"/>
        <w:jc w:val="both"/>
        <w:rPr>
          <w:rFonts w:ascii="Times New Roman" w:hAnsi="Times New Roman" w:cs="Times New Roman"/>
          <w:b/>
          <w:color w:val="000000" w:themeColor="text1"/>
        </w:rPr>
      </w:pPr>
      <w:r w:rsidRPr="00915B33">
        <w:rPr>
          <w:rFonts w:ascii="Times New Roman" w:hAnsi="Times New Roman" w:cs="Times New Roman"/>
          <w:color w:val="000000" w:themeColor="text1"/>
        </w:rPr>
        <w:t>Dans le tableau 6, sont dressées les composantes de l’industrie dont les procédés de fabrication sont susceptibles d’intervenir dans les émissions de GES, selon les lignes directrices du GIEC. Aucune de ces sous-catégories de l’industrie chimique n’est produite en Mauritanie. Les produits sont importés essentiellement des pays européens et maghrébins.</w:t>
      </w:r>
    </w:p>
    <w:p w14:paraId="0811787F" w14:textId="3C661BE5" w:rsidR="00F27423" w:rsidRPr="00F06B8A" w:rsidRDefault="00F27423" w:rsidP="00BC2557">
      <w:pPr>
        <w:pStyle w:val="Sous-titre"/>
        <w:numPr>
          <w:ilvl w:val="0"/>
          <w:numId w:val="27"/>
        </w:numPr>
        <w:outlineLvl w:val="1"/>
      </w:pPr>
      <w:bookmarkStart w:id="32" w:name="_Toc489388300"/>
      <w:bookmarkStart w:id="33" w:name="_Toc157935476"/>
      <w:r w:rsidRPr="00F06B8A">
        <w:t>2C L’industrie métallique</w:t>
      </w:r>
      <w:bookmarkEnd w:id="32"/>
      <w:bookmarkEnd w:id="33"/>
    </w:p>
    <w:p w14:paraId="21484E38" w14:textId="77777777" w:rsidR="00DA5B91" w:rsidRPr="00915B33" w:rsidRDefault="00DA5B91"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lang w:val="fr-CA"/>
        </w:rPr>
        <w:t>Les données de l’industrie métallique proviennent de l</w:t>
      </w:r>
      <w:r w:rsidRPr="00915B33">
        <w:rPr>
          <w:rFonts w:ascii="Times New Roman" w:hAnsi="Times New Roman" w:cs="Times New Roman"/>
          <w:color w:val="000000" w:themeColor="text1"/>
        </w:rPr>
        <w:t>a SAFA, filiale de la SNIM, fondée en 1979.</w:t>
      </w:r>
    </w:p>
    <w:p w14:paraId="6DED8904" w14:textId="3E25834B" w:rsidR="00DA5B91" w:rsidRPr="00915B33" w:rsidRDefault="00DA5B91"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Elle entame ses activités en 1985 p</w:t>
      </w:r>
      <w:r w:rsidR="00521CEA" w:rsidRPr="00915B33">
        <w:rPr>
          <w:rFonts w:ascii="Times New Roman" w:hAnsi="Times New Roman" w:cs="Times New Roman"/>
          <w:color w:val="000000" w:themeColor="text1"/>
        </w:rPr>
        <w:t xml:space="preserve">ar la production du fer à béton avant de </w:t>
      </w:r>
      <w:r w:rsidR="00955B3E" w:rsidRPr="00915B33">
        <w:rPr>
          <w:rFonts w:ascii="Times New Roman" w:hAnsi="Times New Roman" w:cs="Times New Roman"/>
          <w:color w:val="000000" w:themeColor="text1"/>
        </w:rPr>
        <w:t xml:space="preserve">les </w:t>
      </w:r>
      <w:r w:rsidRPr="00915B33">
        <w:rPr>
          <w:rFonts w:ascii="Times New Roman" w:hAnsi="Times New Roman" w:cs="Times New Roman"/>
          <w:color w:val="000000" w:themeColor="text1"/>
        </w:rPr>
        <w:t>diversifi</w:t>
      </w:r>
      <w:r w:rsidR="00521CEA" w:rsidRPr="00915B33">
        <w:rPr>
          <w:rFonts w:ascii="Times New Roman" w:hAnsi="Times New Roman" w:cs="Times New Roman"/>
          <w:color w:val="000000" w:themeColor="text1"/>
        </w:rPr>
        <w:t xml:space="preserve">er </w:t>
      </w:r>
      <w:r w:rsidRPr="00915B33">
        <w:rPr>
          <w:rFonts w:ascii="Times New Roman" w:hAnsi="Times New Roman" w:cs="Times New Roman"/>
          <w:color w:val="000000" w:themeColor="text1"/>
        </w:rPr>
        <w:t>e</w:t>
      </w:r>
      <w:r w:rsidR="00955B3E" w:rsidRPr="00915B33">
        <w:rPr>
          <w:rFonts w:ascii="Times New Roman" w:hAnsi="Times New Roman" w:cs="Times New Roman"/>
          <w:color w:val="000000" w:themeColor="text1"/>
        </w:rPr>
        <w:t>n 1988</w:t>
      </w:r>
      <w:r w:rsidRPr="00915B33">
        <w:rPr>
          <w:rFonts w:ascii="Times New Roman" w:hAnsi="Times New Roman" w:cs="Times New Roman"/>
          <w:color w:val="000000" w:themeColor="text1"/>
        </w:rPr>
        <w:t xml:space="preserve"> en y intégrant la fabrication de pièces d’acier et fonte moulées destinées à l’industrie minière et agricole. La fabrication de fer à béton a</w:t>
      </w:r>
      <w:r w:rsidR="00955B3E" w:rsidRPr="00915B33">
        <w:rPr>
          <w:rFonts w:ascii="Times New Roman" w:hAnsi="Times New Roman" w:cs="Times New Roman"/>
          <w:color w:val="000000" w:themeColor="text1"/>
        </w:rPr>
        <w:t xml:space="preserve"> quant </w:t>
      </w:r>
      <w:r w:rsidR="007E31B8" w:rsidRPr="00915B33">
        <w:rPr>
          <w:rFonts w:ascii="Times New Roman" w:hAnsi="Times New Roman" w:cs="Times New Roman"/>
          <w:color w:val="000000" w:themeColor="text1"/>
        </w:rPr>
        <w:t>à</w:t>
      </w:r>
      <w:r w:rsidR="00955B3E" w:rsidRPr="00915B33">
        <w:rPr>
          <w:rFonts w:ascii="Times New Roman" w:hAnsi="Times New Roman" w:cs="Times New Roman"/>
          <w:color w:val="000000" w:themeColor="text1"/>
        </w:rPr>
        <w:t xml:space="preserve"> elle</w:t>
      </w:r>
      <w:r w:rsidRPr="00915B33">
        <w:rPr>
          <w:rFonts w:ascii="Times New Roman" w:hAnsi="Times New Roman" w:cs="Times New Roman"/>
          <w:color w:val="000000" w:themeColor="text1"/>
        </w:rPr>
        <w:t xml:space="preserve"> été interrompue en 2000 (NIR ; 2005 CT DG).</w:t>
      </w:r>
    </w:p>
    <w:p w14:paraId="4CAE5404" w14:textId="77777777" w:rsidR="00DA5B91" w:rsidRPr="00915B33" w:rsidRDefault="00F427C9" w:rsidP="00B02B7B">
      <w:pPr>
        <w:spacing w:line="360" w:lineRule="auto"/>
        <w:jc w:val="both"/>
        <w:rPr>
          <w:rFonts w:ascii="Times New Roman" w:hAnsi="Times New Roman" w:cs="Times New Roman"/>
          <w:b/>
          <w:color w:val="000000" w:themeColor="text1"/>
        </w:rPr>
      </w:pPr>
      <w:r w:rsidRPr="00915B33">
        <w:rPr>
          <w:rFonts w:ascii="Times New Roman" w:hAnsi="Times New Roman" w:cs="Times New Roman"/>
          <w:color w:val="000000" w:themeColor="text1"/>
        </w:rPr>
        <w:t xml:space="preserve">La SAFA </w:t>
      </w:r>
      <w:r w:rsidR="00DA5B91" w:rsidRPr="00915B33">
        <w:rPr>
          <w:rFonts w:ascii="Times New Roman" w:hAnsi="Times New Roman" w:cs="Times New Roman"/>
          <w:color w:val="000000" w:themeColor="text1"/>
        </w:rPr>
        <w:t>dispose d’un atelier et d’un laboratoire de contrôle de qualité. L’atelier est équipé d’un four à arc électrique d’une capacité de huit (8) tonnes et de deux fours à induction (STEEL SHEEL INDUCTOTHERM) de deux tonnes chacun.</w:t>
      </w:r>
    </w:p>
    <w:p w14:paraId="02EB0A2E" w14:textId="0C1055C0" w:rsidR="007F34E2" w:rsidRPr="00915B33" w:rsidRDefault="007F34E2" w:rsidP="007F34E2">
      <w:pPr>
        <w:jc w:val="center"/>
        <w:rPr>
          <w:rFonts w:ascii="Times New Roman" w:eastAsia="Times New Roman" w:hAnsi="Times New Roman" w:cs="Times New Roman"/>
          <w:b/>
          <w:color w:val="000000" w:themeColor="text1"/>
          <w:lang w:eastAsia="fr-FR"/>
        </w:rPr>
      </w:pPr>
      <w:r w:rsidRPr="00915B33">
        <w:rPr>
          <w:rFonts w:ascii="Times New Roman" w:hAnsi="Times New Roman" w:cs="Times New Roman"/>
          <w:b/>
          <w:color w:val="000000" w:themeColor="text1"/>
        </w:rPr>
        <w:t>Tableau </w:t>
      </w:r>
      <w:r w:rsidR="009D1B65" w:rsidRPr="00915B33">
        <w:rPr>
          <w:rFonts w:ascii="Times New Roman" w:hAnsi="Times New Roman" w:cs="Times New Roman"/>
          <w:b/>
          <w:color w:val="000000" w:themeColor="text1"/>
        </w:rPr>
        <w:t xml:space="preserve">7 </w:t>
      </w:r>
      <w:r w:rsidRPr="00915B33">
        <w:rPr>
          <w:rFonts w:ascii="Times New Roman" w:hAnsi="Times New Roman" w:cs="Times New Roman"/>
          <w:color w:val="000000" w:themeColor="text1"/>
        </w:rPr>
        <w:t xml:space="preserve">: </w:t>
      </w:r>
      <w:r w:rsidR="001D1F5B" w:rsidRPr="00915B33">
        <w:rPr>
          <w:rFonts w:ascii="Times New Roman" w:hAnsi="Times New Roman" w:cs="Times New Roman"/>
          <w:color w:val="000000" w:themeColor="text1"/>
        </w:rPr>
        <w:t>P</w:t>
      </w:r>
      <w:r w:rsidRPr="00915B33">
        <w:rPr>
          <w:rFonts w:ascii="Times New Roman" w:hAnsi="Times New Roman" w:cs="Times New Roman"/>
          <w:color w:val="000000" w:themeColor="text1"/>
        </w:rPr>
        <w:t>résence en Mauritanie des sous-catégories de l’industrie métallique</w:t>
      </w:r>
    </w:p>
    <w:tbl>
      <w:tblPr>
        <w:tblStyle w:val="TableauGrille6Couleur-Accentuation41"/>
        <w:tblW w:w="0" w:type="auto"/>
        <w:tblLayout w:type="fixed"/>
        <w:tblLook w:val="0000" w:firstRow="0" w:lastRow="0" w:firstColumn="0" w:lastColumn="0" w:noHBand="0" w:noVBand="0"/>
      </w:tblPr>
      <w:tblGrid>
        <w:gridCol w:w="4692"/>
        <w:gridCol w:w="4536"/>
      </w:tblGrid>
      <w:tr w:rsidR="00915B33" w:rsidRPr="00915B33" w14:paraId="21DA07AA" w14:textId="77777777" w:rsidTr="000C17AB">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228" w:type="dxa"/>
            <w:gridSpan w:val="2"/>
          </w:tcPr>
          <w:p w14:paraId="0DF241FC" w14:textId="77777777" w:rsidR="007F34E2" w:rsidRPr="00915B33" w:rsidRDefault="007F34E2" w:rsidP="008774A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Catégorie : 2C Industrie métallique</w:t>
            </w:r>
          </w:p>
        </w:tc>
      </w:tr>
      <w:tr w:rsidR="00915B33" w:rsidRPr="00915B33" w14:paraId="46479AB2" w14:textId="77777777" w:rsidTr="000C17AB">
        <w:trPr>
          <w:trHeight w:val="300"/>
        </w:trPr>
        <w:tc>
          <w:tcPr>
            <w:cnfStyle w:val="000010000000" w:firstRow="0" w:lastRow="0" w:firstColumn="0" w:lastColumn="0" w:oddVBand="1" w:evenVBand="0" w:oddHBand="0" w:evenHBand="0" w:firstRowFirstColumn="0" w:firstRowLastColumn="0" w:lastRowFirstColumn="0" w:lastRowLastColumn="0"/>
            <w:tcW w:w="4692" w:type="dxa"/>
          </w:tcPr>
          <w:p w14:paraId="4464C831" w14:textId="77777777" w:rsidR="007F34E2" w:rsidRPr="00915B33" w:rsidRDefault="007F34E2" w:rsidP="008774A3">
            <w:pPr>
              <w:spacing w:line="240" w:lineRule="auto"/>
              <w:jc w:val="both"/>
              <w:rPr>
                <w:rFonts w:ascii="Times New Roman" w:eastAsia="Times New Roman" w:hAnsi="Times New Roman" w:cs="Times New Roman"/>
                <w:b/>
                <w:color w:val="000000" w:themeColor="text1"/>
                <w:lang w:eastAsia="fr-FR"/>
              </w:rPr>
            </w:pPr>
          </w:p>
        </w:tc>
        <w:tc>
          <w:tcPr>
            <w:tcW w:w="4536" w:type="dxa"/>
          </w:tcPr>
          <w:p w14:paraId="6960EBEC" w14:textId="77777777" w:rsidR="007F34E2" w:rsidRPr="00915B33" w:rsidRDefault="007F34E2" w:rsidP="008774A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lang w:eastAsia="fr-FR"/>
              </w:rPr>
            </w:pPr>
          </w:p>
        </w:tc>
      </w:tr>
      <w:tr w:rsidR="00915B33" w:rsidRPr="00915B33" w14:paraId="57C43F9F" w14:textId="77777777" w:rsidTr="000C17AB">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692" w:type="dxa"/>
          </w:tcPr>
          <w:p w14:paraId="44066FF6" w14:textId="77777777" w:rsidR="007F34E2" w:rsidRPr="00915B33" w:rsidRDefault="007F34E2" w:rsidP="008774A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Sous-catégories</w:t>
            </w:r>
          </w:p>
        </w:tc>
        <w:tc>
          <w:tcPr>
            <w:tcW w:w="4536" w:type="dxa"/>
          </w:tcPr>
          <w:p w14:paraId="46020D47" w14:textId="77777777" w:rsidR="007F34E2" w:rsidRPr="00915B33" w:rsidRDefault="007F34E2" w:rsidP="008774A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Présence en Mauritanie</w:t>
            </w:r>
          </w:p>
        </w:tc>
      </w:tr>
      <w:tr w:rsidR="00915B33" w:rsidRPr="00915B33" w14:paraId="02FC751A" w14:textId="77777777" w:rsidTr="000C17AB">
        <w:trPr>
          <w:trHeight w:val="300"/>
        </w:trPr>
        <w:tc>
          <w:tcPr>
            <w:cnfStyle w:val="000010000000" w:firstRow="0" w:lastRow="0" w:firstColumn="0" w:lastColumn="0" w:oddVBand="1" w:evenVBand="0" w:oddHBand="0" w:evenHBand="0" w:firstRowFirstColumn="0" w:firstRowLastColumn="0" w:lastRowFirstColumn="0" w:lastRowLastColumn="0"/>
            <w:tcW w:w="4692" w:type="dxa"/>
          </w:tcPr>
          <w:p w14:paraId="1EC9A702" w14:textId="77777777" w:rsidR="007F34E2" w:rsidRPr="00915B33" w:rsidRDefault="007F34E2" w:rsidP="008774A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2C1. Production de fer, d’acier et de coke</w:t>
            </w:r>
          </w:p>
        </w:tc>
        <w:tc>
          <w:tcPr>
            <w:tcW w:w="4536" w:type="dxa"/>
          </w:tcPr>
          <w:p w14:paraId="3918AEF3" w14:textId="77777777" w:rsidR="007F34E2" w:rsidRPr="00915B33" w:rsidRDefault="007F34E2" w:rsidP="008774A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5644279A" w14:textId="77777777" w:rsidTr="000C17AB">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692" w:type="dxa"/>
          </w:tcPr>
          <w:p w14:paraId="2A250B3D" w14:textId="77777777" w:rsidR="007F34E2" w:rsidRPr="00915B33" w:rsidRDefault="007F34E2" w:rsidP="008774A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2C2. Production de ferroalliage</w:t>
            </w:r>
          </w:p>
        </w:tc>
        <w:tc>
          <w:tcPr>
            <w:tcW w:w="4536" w:type="dxa"/>
          </w:tcPr>
          <w:p w14:paraId="6A2CDDC1" w14:textId="77777777" w:rsidR="007F34E2" w:rsidRPr="00915B33" w:rsidRDefault="007F34E2" w:rsidP="008774A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Oui</w:t>
            </w:r>
          </w:p>
        </w:tc>
      </w:tr>
      <w:tr w:rsidR="00915B33" w:rsidRPr="00915B33" w14:paraId="315F3914" w14:textId="77777777" w:rsidTr="000C17AB">
        <w:trPr>
          <w:trHeight w:val="300"/>
        </w:trPr>
        <w:tc>
          <w:tcPr>
            <w:cnfStyle w:val="000010000000" w:firstRow="0" w:lastRow="0" w:firstColumn="0" w:lastColumn="0" w:oddVBand="1" w:evenVBand="0" w:oddHBand="0" w:evenHBand="0" w:firstRowFirstColumn="0" w:firstRowLastColumn="0" w:lastRowFirstColumn="0" w:lastRowLastColumn="0"/>
            <w:tcW w:w="4692" w:type="dxa"/>
          </w:tcPr>
          <w:p w14:paraId="0FB02DC4" w14:textId="77777777" w:rsidR="007F34E2" w:rsidRPr="00915B33" w:rsidRDefault="007F34E2" w:rsidP="008774A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2C3. Production d’aluminium</w:t>
            </w:r>
          </w:p>
        </w:tc>
        <w:tc>
          <w:tcPr>
            <w:tcW w:w="4536" w:type="dxa"/>
          </w:tcPr>
          <w:p w14:paraId="74D8847A" w14:textId="77777777" w:rsidR="007F34E2" w:rsidRPr="00915B33" w:rsidRDefault="007F34E2" w:rsidP="008774A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35541AC8" w14:textId="77777777" w:rsidTr="000C17A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692" w:type="dxa"/>
          </w:tcPr>
          <w:p w14:paraId="2D1D7860" w14:textId="77777777" w:rsidR="007F34E2" w:rsidRPr="00915B33" w:rsidRDefault="007F34E2" w:rsidP="008774A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2C4. Production de magnésium</w:t>
            </w:r>
          </w:p>
        </w:tc>
        <w:tc>
          <w:tcPr>
            <w:tcW w:w="4536" w:type="dxa"/>
          </w:tcPr>
          <w:p w14:paraId="5E9FD8FC" w14:textId="77777777" w:rsidR="007F34E2" w:rsidRPr="00915B33" w:rsidRDefault="007F34E2" w:rsidP="008774A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43968D35" w14:textId="77777777" w:rsidTr="000C17AB">
        <w:trPr>
          <w:trHeight w:val="315"/>
        </w:trPr>
        <w:tc>
          <w:tcPr>
            <w:cnfStyle w:val="000010000000" w:firstRow="0" w:lastRow="0" w:firstColumn="0" w:lastColumn="0" w:oddVBand="1" w:evenVBand="0" w:oddHBand="0" w:evenHBand="0" w:firstRowFirstColumn="0" w:firstRowLastColumn="0" w:lastRowFirstColumn="0" w:lastRowLastColumn="0"/>
            <w:tcW w:w="4692" w:type="dxa"/>
          </w:tcPr>
          <w:p w14:paraId="76943F52" w14:textId="77777777" w:rsidR="007F34E2" w:rsidRPr="00915B33" w:rsidRDefault="007F34E2" w:rsidP="008774A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2C5 Production de plomb</w:t>
            </w:r>
          </w:p>
        </w:tc>
        <w:tc>
          <w:tcPr>
            <w:tcW w:w="4536" w:type="dxa"/>
          </w:tcPr>
          <w:p w14:paraId="304E36BC" w14:textId="77777777" w:rsidR="007F34E2" w:rsidRPr="00915B33" w:rsidRDefault="007F34E2" w:rsidP="008774A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53FAEA3D" w14:textId="77777777" w:rsidTr="000C17A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692" w:type="dxa"/>
          </w:tcPr>
          <w:p w14:paraId="01B40BF7" w14:textId="77777777" w:rsidR="007F34E2" w:rsidRPr="00915B33" w:rsidRDefault="007F34E2" w:rsidP="008774A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2C6. Production de zinc</w:t>
            </w:r>
          </w:p>
        </w:tc>
        <w:tc>
          <w:tcPr>
            <w:tcW w:w="4536" w:type="dxa"/>
          </w:tcPr>
          <w:p w14:paraId="733BB0CF" w14:textId="77777777" w:rsidR="007F34E2" w:rsidRPr="00915B33" w:rsidRDefault="007F34E2" w:rsidP="008774A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62FE36B9" w14:textId="77777777" w:rsidTr="000C17AB">
        <w:trPr>
          <w:trHeight w:val="315"/>
        </w:trPr>
        <w:tc>
          <w:tcPr>
            <w:cnfStyle w:val="000010000000" w:firstRow="0" w:lastRow="0" w:firstColumn="0" w:lastColumn="0" w:oddVBand="1" w:evenVBand="0" w:oddHBand="0" w:evenHBand="0" w:firstRowFirstColumn="0" w:firstRowLastColumn="0" w:lastRowFirstColumn="0" w:lastRowLastColumn="0"/>
            <w:tcW w:w="4692" w:type="dxa"/>
          </w:tcPr>
          <w:p w14:paraId="5BF90C70" w14:textId="77777777" w:rsidR="007F34E2" w:rsidRPr="00915B33" w:rsidRDefault="007F34E2" w:rsidP="008774A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2C7. Autres (précisez)</w:t>
            </w:r>
          </w:p>
        </w:tc>
        <w:tc>
          <w:tcPr>
            <w:tcW w:w="4536" w:type="dxa"/>
          </w:tcPr>
          <w:p w14:paraId="7C5EFC33" w14:textId="77777777" w:rsidR="007F34E2" w:rsidRPr="00915B33" w:rsidRDefault="007F34E2" w:rsidP="008774A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bl>
    <w:p w14:paraId="4D863D55" w14:textId="77777777" w:rsidR="007F34E2" w:rsidRPr="00915B33" w:rsidRDefault="007F34E2" w:rsidP="007F34E2">
      <w:pPr>
        <w:jc w:val="both"/>
        <w:rPr>
          <w:rFonts w:ascii="Times New Roman" w:hAnsi="Times New Roman" w:cs="Times New Roman"/>
          <w:color w:val="000000" w:themeColor="text1"/>
        </w:rPr>
      </w:pPr>
    </w:p>
    <w:p w14:paraId="667967FA" w14:textId="77777777" w:rsidR="009D1B65" w:rsidRPr="00915B33" w:rsidRDefault="009D1B65" w:rsidP="009D1B65">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La SAFA livre, à ses principaux clients</w:t>
      </w:r>
      <w:r w:rsidRPr="00915B33">
        <w:rPr>
          <w:rStyle w:val="Appelnotedebasdep"/>
          <w:rFonts w:ascii="Times New Roman" w:hAnsi="Times New Roman" w:cs="Times New Roman"/>
          <w:color w:val="000000" w:themeColor="text1"/>
        </w:rPr>
        <w:footnoteReference w:id="12"/>
      </w:r>
      <w:r w:rsidRPr="00915B33">
        <w:rPr>
          <w:rFonts w:ascii="Times New Roman" w:hAnsi="Times New Roman" w:cs="Times New Roman"/>
          <w:color w:val="000000" w:themeColor="text1"/>
        </w:rPr>
        <w:t>, plusieurs types de pièces : blindages broyeur et concasseurs, cônes, engins de terrassement, boulets, lames, porte dents, etc.  Les objectifs initiaux, fixés à une production annuelle de 600 tonnes de pièces d’usures, ont connu une croissance rapide à partir de 1999</w:t>
      </w:r>
      <w:r w:rsidRPr="00915B33">
        <w:rPr>
          <w:rStyle w:val="Appelnotedebasdep"/>
          <w:rFonts w:ascii="Times New Roman" w:hAnsi="Times New Roman" w:cs="Times New Roman"/>
          <w:color w:val="000000" w:themeColor="text1"/>
        </w:rPr>
        <w:footnoteReference w:id="13"/>
      </w:r>
      <w:r w:rsidRPr="00915B33">
        <w:rPr>
          <w:rFonts w:ascii="Times New Roman" w:hAnsi="Times New Roman" w:cs="Times New Roman"/>
          <w:color w:val="000000" w:themeColor="text1"/>
        </w:rPr>
        <w:t xml:space="preserve"> grâce à une forte demande de son principal client, la SNIM. La production de fer à béton interrompue depuis 2000, n’a pas encore redémarré. </w:t>
      </w:r>
    </w:p>
    <w:p w14:paraId="31EBD5D3" w14:textId="12FEF659" w:rsidR="008E31EF" w:rsidRPr="00915B33" w:rsidRDefault="008E31EF" w:rsidP="00B02B7B">
      <w:pPr>
        <w:spacing w:line="360" w:lineRule="auto"/>
        <w:jc w:val="both"/>
        <w:rPr>
          <w:rFonts w:ascii="Times New Roman" w:hAnsi="Times New Roman" w:cs="Times New Roman"/>
          <w:b/>
          <w:color w:val="000000" w:themeColor="text1"/>
        </w:rPr>
      </w:pPr>
      <w:r w:rsidRPr="00915B33">
        <w:rPr>
          <w:rFonts w:ascii="Times New Roman" w:hAnsi="Times New Roman" w:cs="Times New Roman"/>
          <w:color w:val="000000" w:themeColor="text1"/>
        </w:rPr>
        <w:t>Selon les données fournies par son laboratoire, les productions de ferroalliage que la SAFA sort de son usine sont composées</w:t>
      </w:r>
      <w:r w:rsidR="003720C3" w:rsidRPr="00915B33">
        <w:rPr>
          <w:rFonts w:ascii="Times New Roman" w:hAnsi="Times New Roman" w:cs="Times New Roman"/>
          <w:color w:val="000000" w:themeColor="text1"/>
        </w:rPr>
        <w:t xml:space="preserve"> </w:t>
      </w:r>
      <w:r w:rsidRPr="00915B33">
        <w:rPr>
          <w:rFonts w:ascii="Times New Roman" w:hAnsi="Times New Roman" w:cs="Times New Roman"/>
          <w:color w:val="000000" w:themeColor="text1"/>
        </w:rPr>
        <w:t>de fonte, acier ordinaire, acier au manganèse et acier au chrome (Tableau 11). Aucun changement,</w:t>
      </w:r>
      <w:r w:rsidR="003720C3" w:rsidRPr="00915B33">
        <w:rPr>
          <w:rFonts w:ascii="Times New Roman" w:hAnsi="Times New Roman" w:cs="Times New Roman"/>
          <w:color w:val="000000" w:themeColor="text1"/>
        </w:rPr>
        <w:t xml:space="preserve"> de na</w:t>
      </w:r>
      <w:r w:rsidRPr="00915B33">
        <w:rPr>
          <w:rFonts w:ascii="Times New Roman" w:hAnsi="Times New Roman" w:cs="Times New Roman"/>
          <w:color w:val="000000" w:themeColor="text1"/>
        </w:rPr>
        <w:t xml:space="preserve">ture à reconsidérer la méthodologie, n’est </w:t>
      </w:r>
      <w:r w:rsidR="00445CE0" w:rsidRPr="00915B33">
        <w:rPr>
          <w:rFonts w:ascii="Times New Roman" w:hAnsi="Times New Roman" w:cs="Times New Roman"/>
          <w:color w:val="000000" w:themeColor="text1"/>
        </w:rPr>
        <w:t>intervenu depuis</w:t>
      </w:r>
      <w:r w:rsidRPr="00915B33">
        <w:rPr>
          <w:rFonts w:ascii="Times New Roman" w:hAnsi="Times New Roman" w:cs="Times New Roman"/>
          <w:color w:val="000000" w:themeColor="text1"/>
        </w:rPr>
        <w:t xml:space="preserve"> la dernière collecte de données effectué dans le cadre de cet exercice.</w:t>
      </w:r>
    </w:p>
    <w:p w14:paraId="3F76C15D" w14:textId="77777777"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Les émissions de GES de l’industrie métallique peuvent provenir des procédés de production de plusieurs types de métaux : fer, acier, coke métallurgique, ferroalliage, aluminium, magnésium, plomb, zinc, etc. Les principaux gaz émis lors du processus de production de ces différents métaux et appartenant à la famille des GES sont le CO</w:t>
      </w:r>
      <w:r w:rsidRPr="00915B33">
        <w:rPr>
          <w:rFonts w:ascii="Times New Roman" w:hAnsi="Times New Roman" w:cs="Times New Roman"/>
          <w:color w:val="000000" w:themeColor="text1"/>
          <w:vertAlign w:val="subscript"/>
        </w:rPr>
        <w:t>2</w:t>
      </w:r>
      <w:r w:rsidRPr="00915B33">
        <w:rPr>
          <w:rFonts w:ascii="Times New Roman" w:hAnsi="Times New Roman" w:cs="Times New Roman"/>
          <w:color w:val="000000" w:themeColor="text1"/>
        </w:rPr>
        <w:t>, CH</w:t>
      </w:r>
      <w:r w:rsidRPr="00915B33">
        <w:rPr>
          <w:rFonts w:ascii="Times New Roman" w:hAnsi="Times New Roman" w:cs="Times New Roman"/>
          <w:color w:val="000000" w:themeColor="text1"/>
          <w:vertAlign w:val="subscript"/>
        </w:rPr>
        <w:t>4</w:t>
      </w:r>
      <w:r w:rsidRPr="00915B33">
        <w:rPr>
          <w:rFonts w:ascii="Times New Roman" w:hAnsi="Times New Roman" w:cs="Times New Roman"/>
          <w:color w:val="000000" w:themeColor="text1"/>
        </w:rPr>
        <w:t xml:space="preserve"> et le N</w:t>
      </w:r>
      <w:r w:rsidRPr="00915B33">
        <w:rPr>
          <w:rFonts w:ascii="Times New Roman" w:hAnsi="Times New Roman" w:cs="Times New Roman"/>
          <w:color w:val="000000" w:themeColor="text1"/>
          <w:vertAlign w:val="subscript"/>
        </w:rPr>
        <w:t>2</w:t>
      </w:r>
      <w:r w:rsidRPr="00915B33">
        <w:rPr>
          <w:rFonts w:ascii="Times New Roman" w:hAnsi="Times New Roman" w:cs="Times New Roman"/>
          <w:color w:val="000000" w:themeColor="text1"/>
        </w:rPr>
        <w:t>O.</w:t>
      </w:r>
    </w:p>
    <w:p w14:paraId="6F282602" w14:textId="0F9EE5F8" w:rsidR="00F27423" w:rsidRPr="00915B33" w:rsidRDefault="00F27423">
      <w:pPr>
        <w:ind w:left="360"/>
        <w:jc w:val="center"/>
        <w:rPr>
          <w:rFonts w:ascii="Times New Roman" w:eastAsia="Times New Roman" w:hAnsi="Times New Roman" w:cs="Times New Roman"/>
          <w:b/>
          <w:color w:val="000000" w:themeColor="text1"/>
          <w:lang w:eastAsia="fr-FR"/>
        </w:rPr>
      </w:pPr>
      <w:r w:rsidRPr="00915B33">
        <w:rPr>
          <w:rFonts w:ascii="Times New Roman" w:hAnsi="Times New Roman" w:cs="Times New Roman"/>
          <w:b/>
          <w:color w:val="000000" w:themeColor="text1"/>
        </w:rPr>
        <w:t>Tableau </w:t>
      </w:r>
      <w:r w:rsidR="009D1B65" w:rsidRPr="00915B33">
        <w:rPr>
          <w:rFonts w:ascii="Times New Roman" w:hAnsi="Times New Roman" w:cs="Times New Roman"/>
          <w:b/>
          <w:color w:val="000000" w:themeColor="text1"/>
        </w:rPr>
        <w:t>8</w:t>
      </w:r>
      <w:r w:rsidR="00023122" w:rsidRPr="00915B33">
        <w:rPr>
          <w:rFonts w:ascii="Times New Roman" w:hAnsi="Times New Roman" w:cs="Times New Roman"/>
          <w:b/>
          <w:color w:val="000000" w:themeColor="text1"/>
        </w:rPr>
        <w:t xml:space="preserve"> </w:t>
      </w:r>
      <w:r w:rsidRPr="00915B33">
        <w:rPr>
          <w:rFonts w:ascii="Times New Roman" w:hAnsi="Times New Roman" w:cs="Times New Roman"/>
          <w:b/>
          <w:color w:val="000000" w:themeColor="text1"/>
        </w:rPr>
        <w:t xml:space="preserve">: </w:t>
      </w:r>
      <w:r w:rsidR="001D1F5B" w:rsidRPr="00915B33">
        <w:rPr>
          <w:rFonts w:ascii="Times New Roman" w:hAnsi="Times New Roman" w:cs="Times New Roman"/>
          <w:bCs/>
          <w:color w:val="000000" w:themeColor="text1"/>
        </w:rPr>
        <w:t>P</w:t>
      </w:r>
      <w:r w:rsidRPr="00915B33">
        <w:rPr>
          <w:rFonts w:ascii="Times New Roman" w:hAnsi="Times New Roman" w:cs="Times New Roman"/>
          <w:color w:val="000000" w:themeColor="text1"/>
        </w:rPr>
        <w:t>roduction annuelle de ferroalliage de la SAFA (en tonne)</w:t>
      </w:r>
    </w:p>
    <w:tbl>
      <w:tblPr>
        <w:tblStyle w:val="TableauListe4-Accentuation11"/>
        <w:tblW w:w="0" w:type="auto"/>
        <w:jc w:val="center"/>
        <w:tblLayout w:type="fixed"/>
        <w:tblLook w:val="0000" w:firstRow="0" w:lastRow="0" w:firstColumn="0" w:lastColumn="0" w:noHBand="0" w:noVBand="0"/>
      </w:tblPr>
      <w:tblGrid>
        <w:gridCol w:w="1199"/>
        <w:gridCol w:w="940"/>
        <w:gridCol w:w="1479"/>
        <w:gridCol w:w="1980"/>
        <w:gridCol w:w="1602"/>
      </w:tblGrid>
      <w:tr w:rsidR="00915B33" w:rsidRPr="00915B33" w14:paraId="69CED0B4" w14:textId="77777777" w:rsidTr="001340E3">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1199" w:type="dxa"/>
          </w:tcPr>
          <w:p w14:paraId="724709C4" w14:textId="77777777" w:rsidR="00F27423" w:rsidRPr="00915B33" w:rsidRDefault="00F27423">
            <w:pPr>
              <w:spacing w:line="240" w:lineRule="auto"/>
              <w:jc w:val="center"/>
              <w:rPr>
                <w:rFonts w:ascii="Times New Roman" w:eastAsia="Times New Roman" w:hAnsi="Times New Roman" w:cs="Times New Roman"/>
                <w:b/>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Années</w:t>
            </w:r>
          </w:p>
        </w:tc>
        <w:tc>
          <w:tcPr>
            <w:tcW w:w="940" w:type="dxa"/>
          </w:tcPr>
          <w:p w14:paraId="2A4EABE6"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Fonte</w:t>
            </w:r>
          </w:p>
        </w:tc>
        <w:tc>
          <w:tcPr>
            <w:cnfStyle w:val="000010000000" w:firstRow="0" w:lastRow="0" w:firstColumn="0" w:lastColumn="0" w:oddVBand="1" w:evenVBand="0" w:oddHBand="0" w:evenHBand="0" w:firstRowFirstColumn="0" w:firstRowLastColumn="0" w:lastRowFirstColumn="0" w:lastRowLastColumn="0"/>
            <w:tcW w:w="1479" w:type="dxa"/>
          </w:tcPr>
          <w:p w14:paraId="27256E99" w14:textId="77777777" w:rsidR="00F27423" w:rsidRPr="00915B33" w:rsidRDefault="00F27423">
            <w:pPr>
              <w:spacing w:line="240" w:lineRule="auto"/>
              <w:jc w:val="center"/>
              <w:rPr>
                <w:rFonts w:ascii="Times New Roman" w:eastAsia="Times New Roman" w:hAnsi="Times New Roman" w:cs="Times New Roman"/>
                <w:b/>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Acier ordinaire</w:t>
            </w:r>
          </w:p>
        </w:tc>
        <w:tc>
          <w:tcPr>
            <w:tcW w:w="1980" w:type="dxa"/>
          </w:tcPr>
          <w:p w14:paraId="6210A777"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Acier au manganèse</w:t>
            </w:r>
          </w:p>
        </w:tc>
        <w:tc>
          <w:tcPr>
            <w:cnfStyle w:val="000010000000" w:firstRow="0" w:lastRow="0" w:firstColumn="0" w:lastColumn="0" w:oddVBand="1" w:evenVBand="0" w:oddHBand="0" w:evenHBand="0" w:firstRowFirstColumn="0" w:firstRowLastColumn="0" w:lastRowFirstColumn="0" w:lastRowLastColumn="0"/>
            <w:tcW w:w="1602" w:type="dxa"/>
          </w:tcPr>
          <w:p w14:paraId="33F56FCD" w14:textId="77777777" w:rsidR="00F27423" w:rsidRPr="00915B33" w:rsidRDefault="00F27423">
            <w:pPr>
              <w:spacing w:line="240" w:lineRule="auto"/>
              <w:jc w:val="center"/>
              <w:rPr>
                <w:rFonts w:ascii="Times New Roman" w:hAnsi="Times New Roman" w:cs="Times New Roman"/>
                <w:color w:val="000000" w:themeColor="text1"/>
                <w:sz w:val="18"/>
                <w:szCs w:val="18"/>
              </w:rPr>
            </w:pPr>
            <w:r w:rsidRPr="00915B33">
              <w:rPr>
                <w:rFonts w:ascii="Times New Roman" w:eastAsia="Times New Roman" w:hAnsi="Times New Roman" w:cs="Times New Roman"/>
                <w:b/>
                <w:color w:val="000000" w:themeColor="text1"/>
                <w:sz w:val="18"/>
                <w:szCs w:val="18"/>
                <w:lang w:eastAsia="fr-FR"/>
              </w:rPr>
              <w:t>Acier au chrome</w:t>
            </w:r>
          </w:p>
        </w:tc>
      </w:tr>
      <w:tr w:rsidR="00915B33" w:rsidRPr="00915B33" w14:paraId="469E02A8" w14:textId="77777777" w:rsidTr="001340E3">
        <w:trPr>
          <w:trHeight w:val="300"/>
          <w:jc w:val="center"/>
        </w:trPr>
        <w:tc>
          <w:tcPr>
            <w:cnfStyle w:val="000010000000" w:firstRow="0" w:lastRow="0" w:firstColumn="0" w:lastColumn="0" w:oddVBand="1" w:evenVBand="0" w:oddHBand="0" w:evenHBand="0" w:firstRowFirstColumn="0" w:firstRowLastColumn="0" w:lastRowFirstColumn="0" w:lastRowLastColumn="0"/>
            <w:tcW w:w="1199" w:type="dxa"/>
          </w:tcPr>
          <w:p w14:paraId="3E29834D" w14:textId="77777777" w:rsidR="00F27423" w:rsidRPr="00915B33" w:rsidRDefault="00F27423">
            <w:pPr>
              <w:spacing w:line="240" w:lineRule="auto"/>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2007</w:t>
            </w:r>
          </w:p>
        </w:tc>
        <w:tc>
          <w:tcPr>
            <w:tcW w:w="940" w:type="dxa"/>
          </w:tcPr>
          <w:p w14:paraId="599EE8C1"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153,165</w:t>
            </w:r>
          </w:p>
        </w:tc>
        <w:tc>
          <w:tcPr>
            <w:cnfStyle w:val="000010000000" w:firstRow="0" w:lastRow="0" w:firstColumn="0" w:lastColumn="0" w:oddVBand="1" w:evenVBand="0" w:oddHBand="0" w:evenHBand="0" w:firstRowFirstColumn="0" w:firstRowLastColumn="0" w:lastRowFirstColumn="0" w:lastRowLastColumn="0"/>
            <w:tcW w:w="1479" w:type="dxa"/>
          </w:tcPr>
          <w:p w14:paraId="40540E67" w14:textId="77777777" w:rsidR="00F27423" w:rsidRPr="00915B33" w:rsidRDefault="00F27423">
            <w:pPr>
              <w:spacing w:line="240" w:lineRule="auto"/>
              <w:jc w:val="center"/>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92,392</w:t>
            </w:r>
          </w:p>
        </w:tc>
        <w:tc>
          <w:tcPr>
            <w:tcW w:w="1980" w:type="dxa"/>
          </w:tcPr>
          <w:p w14:paraId="73B95A89"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813,773</w:t>
            </w:r>
          </w:p>
        </w:tc>
        <w:tc>
          <w:tcPr>
            <w:cnfStyle w:val="000010000000" w:firstRow="0" w:lastRow="0" w:firstColumn="0" w:lastColumn="0" w:oddVBand="1" w:evenVBand="0" w:oddHBand="0" w:evenHBand="0" w:firstRowFirstColumn="0" w:firstRowLastColumn="0" w:lastRowFirstColumn="0" w:lastRowLastColumn="0"/>
            <w:tcW w:w="1602" w:type="dxa"/>
          </w:tcPr>
          <w:p w14:paraId="28D320CC" w14:textId="77777777" w:rsidR="00F27423" w:rsidRPr="00915B33" w:rsidRDefault="00F27423">
            <w:pPr>
              <w:spacing w:line="240" w:lineRule="auto"/>
              <w:jc w:val="center"/>
              <w:rPr>
                <w:rFonts w:ascii="Times New Roman" w:hAnsi="Times New Roman" w:cs="Times New Roman"/>
                <w:color w:val="000000" w:themeColor="text1"/>
                <w:sz w:val="18"/>
                <w:szCs w:val="18"/>
              </w:rPr>
            </w:pPr>
            <w:r w:rsidRPr="00915B33">
              <w:rPr>
                <w:rFonts w:ascii="Times New Roman" w:eastAsia="Times New Roman" w:hAnsi="Times New Roman" w:cs="Times New Roman"/>
                <w:color w:val="000000" w:themeColor="text1"/>
                <w:sz w:val="18"/>
                <w:szCs w:val="18"/>
                <w:lang w:eastAsia="fr-FR"/>
              </w:rPr>
              <w:t>158,359</w:t>
            </w:r>
          </w:p>
        </w:tc>
      </w:tr>
      <w:tr w:rsidR="00915B33" w:rsidRPr="00915B33" w14:paraId="36298FD3" w14:textId="77777777" w:rsidTr="001340E3">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1199" w:type="dxa"/>
          </w:tcPr>
          <w:p w14:paraId="36D8CAFD" w14:textId="77777777" w:rsidR="00F27423" w:rsidRPr="00915B33" w:rsidRDefault="00F27423">
            <w:pPr>
              <w:spacing w:line="240" w:lineRule="auto"/>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2008</w:t>
            </w:r>
          </w:p>
        </w:tc>
        <w:tc>
          <w:tcPr>
            <w:tcW w:w="940" w:type="dxa"/>
          </w:tcPr>
          <w:p w14:paraId="35F00B3A"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58,593</w:t>
            </w:r>
          </w:p>
        </w:tc>
        <w:tc>
          <w:tcPr>
            <w:cnfStyle w:val="000010000000" w:firstRow="0" w:lastRow="0" w:firstColumn="0" w:lastColumn="0" w:oddVBand="1" w:evenVBand="0" w:oddHBand="0" w:evenHBand="0" w:firstRowFirstColumn="0" w:firstRowLastColumn="0" w:lastRowFirstColumn="0" w:lastRowLastColumn="0"/>
            <w:tcW w:w="1479" w:type="dxa"/>
          </w:tcPr>
          <w:p w14:paraId="54EB7634" w14:textId="77777777" w:rsidR="00F27423" w:rsidRPr="00915B33" w:rsidRDefault="00F27423">
            <w:pPr>
              <w:spacing w:line="240" w:lineRule="auto"/>
              <w:jc w:val="center"/>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32,81</w:t>
            </w:r>
          </w:p>
        </w:tc>
        <w:tc>
          <w:tcPr>
            <w:tcW w:w="1980" w:type="dxa"/>
          </w:tcPr>
          <w:p w14:paraId="68228354"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1088,274</w:t>
            </w:r>
          </w:p>
        </w:tc>
        <w:tc>
          <w:tcPr>
            <w:cnfStyle w:val="000010000000" w:firstRow="0" w:lastRow="0" w:firstColumn="0" w:lastColumn="0" w:oddVBand="1" w:evenVBand="0" w:oddHBand="0" w:evenHBand="0" w:firstRowFirstColumn="0" w:firstRowLastColumn="0" w:lastRowFirstColumn="0" w:lastRowLastColumn="0"/>
            <w:tcW w:w="1602" w:type="dxa"/>
          </w:tcPr>
          <w:p w14:paraId="0F151093" w14:textId="77777777" w:rsidR="00F27423" w:rsidRPr="00915B33" w:rsidRDefault="00F27423">
            <w:pPr>
              <w:spacing w:line="240" w:lineRule="auto"/>
              <w:jc w:val="center"/>
              <w:rPr>
                <w:rFonts w:ascii="Times New Roman" w:hAnsi="Times New Roman" w:cs="Times New Roman"/>
                <w:color w:val="000000" w:themeColor="text1"/>
                <w:sz w:val="18"/>
                <w:szCs w:val="18"/>
              </w:rPr>
            </w:pPr>
            <w:r w:rsidRPr="00915B33">
              <w:rPr>
                <w:rFonts w:ascii="Times New Roman" w:eastAsia="Times New Roman" w:hAnsi="Times New Roman" w:cs="Times New Roman"/>
                <w:color w:val="000000" w:themeColor="text1"/>
                <w:sz w:val="18"/>
                <w:szCs w:val="18"/>
                <w:lang w:eastAsia="fr-FR"/>
              </w:rPr>
              <w:t>285,811</w:t>
            </w:r>
          </w:p>
        </w:tc>
      </w:tr>
      <w:tr w:rsidR="00915B33" w:rsidRPr="00915B33" w14:paraId="5689AC81" w14:textId="77777777" w:rsidTr="001340E3">
        <w:trPr>
          <w:trHeight w:val="300"/>
          <w:jc w:val="center"/>
        </w:trPr>
        <w:tc>
          <w:tcPr>
            <w:cnfStyle w:val="000010000000" w:firstRow="0" w:lastRow="0" w:firstColumn="0" w:lastColumn="0" w:oddVBand="1" w:evenVBand="0" w:oddHBand="0" w:evenHBand="0" w:firstRowFirstColumn="0" w:firstRowLastColumn="0" w:lastRowFirstColumn="0" w:lastRowLastColumn="0"/>
            <w:tcW w:w="1199" w:type="dxa"/>
          </w:tcPr>
          <w:p w14:paraId="737F62DF" w14:textId="77777777" w:rsidR="00F27423" w:rsidRPr="00915B33" w:rsidRDefault="00F27423">
            <w:pPr>
              <w:spacing w:line="240" w:lineRule="auto"/>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2009</w:t>
            </w:r>
          </w:p>
        </w:tc>
        <w:tc>
          <w:tcPr>
            <w:tcW w:w="940" w:type="dxa"/>
          </w:tcPr>
          <w:p w14:paraId="79010151"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33,717</w:t>
            </w:r>
          </w:p>
        </w:tc>
        <w:tc>
          <w:tcPr>
            <w:cnfStyle w:val="000010000000" w:firstRow="0" w:lastRow="0" w:firstColumn="0" w:lastColumn="0" w:oddVBand="1" w:evenVBand="0" w:oddHBand="0" w:evenHBand="0" w:firstRowFirstColumn="0" w:firstRowLastColumn="0" w:lastRowFirstColumn="0" w:lastRowLastColumn="0"/>
            <w:tcW w:w="1479" w:type="dxa"/>
          </w:tcPr>
          <w:p w14:paraId="369C6774" w14:textId="77777777" w:rsidR="00F27423" w:rsidRPr="00915B33" w:rsidRDefault="00F27423">
            <w:pPr>
              <w:spacing w:line="240" w:lineRule="auto"/>
              <w:jc w:val="center"/>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26,418</w:t>
            </w:r>
          </w:p>
        </w:tc>
        <w:tc>
          <w:tcPr>
            <w:tcW w:w="1980" w:type="dxa"/>
          </w:tcPr>
          <w:p w14:paraId="29399DB1"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610,009</w:t>
            </w:r>
          </w:p>
        </w:tc>
        <w:tc>
          <w:tcPr>
            <w:cnfStyle w:val="000010000000" w:firstRow="0" w:lastRow="0" w:firstColumn="0" w:lastColumn="0" w:oddVBand="1" w:evenVBand="0" w:oddHBand="0" w:evenHBand="0" w:firstRowFirstColumn="0" w:firstRowLastColumn="0" w:lastRowFirstColumn="0" w:lastRowLastColumn="0"/>
            <w:tcW w:w="1602" w:type="dxa"/>
          </w:tcPr>
          <w:p w14:paraId="22634CE5" w14:textId="77777777" w:rsidR="00F27423" w:rsidRPr="00915B33" w:rsidRDefault="00F27423">
            <w:pPr>
              <w:spacing w:line="240" w:lineRule="auto"/>
              <w:jc w:val="center"/>
              <w:rPr>
                <w:rFonts w:ascii="Times New Roman" w:hAnsi="Times New Roman" w:cs="Times New Roman"/>
                <w:color w:val="000000" w:themeColor="text1"/>
                <w:sz w:val="18"/>
                <w:szCs w:val="18"/>
              </w:rPr>
            </w:pPr>
            <w:r w:rsidRPr="00915B33">
              <w:rPr>
                <w:rFonts w:ascii="Times New Roman" w:eastAsia="Times New Roman" w:hAnsi="Times New Roman" w:cs="Times New Roman"/>
                <w:color w:val="000000" w:themeColor="text1"/>
                <w:sz w:val="18"/>
                <w:szCs w:val="18"/>
                <w:lang w:eastAsia="fr-FR"/>
              </w:rPr>
              <w:t>310,142</w:t>
            </w:r>
          </w:p>
        </w:tc>
      </w:tr>
      <w:tr w:rsidR="00915B33" w:rsidRPr="00915B33" w14:paraId="28C0918E" w14:textId="77777777" w:rsidTr="001340E3">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1199" w:type="dxa"/>
          </w:tcPr>
          <w:p w14:paraId="7AABBD5B" w14:textId="77777777" w:rsidR="00F27423" w:rsidRPr="00915B33" w:rsidRDefault="00F27423">
            <w:pPr>
              <w:spacing w:line="240" w:lineRule="auto"/>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2010</w:t>
            </w:r>
          </w:p>
        </w:tc>
        <w:tc>
          <w:tcPr>
            <w:tcW w:w="940" w:type="dxa"/>
          </w:tcPr>
          <w:p w14:paraId="298C4CDD"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43,913</w:t>
            </w:r>
          </w:p>
        </w:tc>
        <w:tc>
          <w:tcPr>
            <w:cnfStyle w:val="000010000000" w:firstRow="0" w:lastRow="0" w:firstColumn="0" w:lastColumn="0" w:oddVBand="1" w:evenVBand="0" w:oddHBand="0" w:evenHBand="0" w:firstRowFirstColumn="0" w:firstRowLastColumn="0" w:lastRowFirstColumn="0" w:lastRowLastColumn="0"/>
            <w:tcW w:w="1479" w:type="dxa"/>
          </w:tcPr>
          <w:p w14:paraId="066D770E" w14:textId="77777777" w:rsidR="00F27423" w:rsidRPr="00915B33" w:rsidRDefault="00F27423">
            <w:pPr>
              <w:spacing w:line="240" w:lineRule="auto"/>
              <w:jc w:val="center"/>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32,989</w:t>
            </w:r>
          </w:p>
        </w:tc>
        <w:tc>
          <w:tcPr>
            <w:tcW w:w="1980" w:type="dxa"/>
          </w:tcPr>
          <w:p w14:paraId="307D137A"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990,276</w:t>
            </w:r>
          </w:p>
        </w:tc>
        <w:tc>
          <w:tcPr>
            <w:cnfStyle w:val="000010000000" w:firstRow="0" w:lastRow="0" w:firstColumn="0" w:lastColumn="0" w:oddVBand="1" w:evenVBand="0" w:oddHBand="0" w:evenHBand="0" w:firstRowFirstColumn="0" w:firstRowLastColumn="0" w:lastRowFirstColumn="0" w:lastRowLastColumn="0"/>
            <w:tcW w:w="1602" w:type="dxa"/>
          </w:tcPr>
          <w:p w14:paraId="4960FC6C" w14:textId="77777777" w:rsidR="00F27423" w:rsidRPr="00915B33" w:rsidRDefault="00F27423">
            <w:pPr>
              <w:spacing w:line="240" w:lineRule="auto"/>
              <w:jc w:val="center"/>
              <w:rPr>
                <w:rFonts w:ascii="Times New Roman" w:hAnsi="Times New Roman" w:cs="Times New Roman"/>
                <w:color w:val="000000" w:themeColor="text1"/>
                <w:sz w:val="18"/>
                <w:szCs w:val="18"/>
              </w:rPr>
            </w:pPr>
            <w:r w:rsidRPr="00915B33">
              <w:rPr>
                <w:rFonts w:ascii="Times New Roman" w:eastAsia="Times New Roman" w:hAnsi="Times New Roman" w:cs="Times New Roman"/>
                <w:color w:val="000000" w:themeColor="text1"/>
                <w:sz w:val="18"/>
                <w:szCs w:val="18"/>
                <w:lang w:eastAsia="fr-FR"/>
              </w:rPr>
              <w:t>382,669</w:t>
            </w:r>
          </w:p>
        </w:tc>
      </w:tr>
      <w:tr w:rsidR="00915B33" w:rsidRPr="00915B33" w14:paraId="24696040" w14:textId="77777777" w:rsidTr="001340E3">
        <w:trPr>
          <w:trHeight w:val="300"/>
          <w:jc w:val="center"/>
        </w:trPr>
        <w:tc>
          <w:tcPr>
            <w:cnfStyle w:val="000010000000" w:firstRow="0" w:lastRow="0" w:firstColumn="0" w:lastColumn="0" w:oddVBand="1" w:evenVBand="0" w:oddHBand="0" w:evenHBand="0" w:firstRowFirstColumn="0" w:firstRowLastColumn="0" w:lastRowFirstColumn="0" w:lastRowLastColumn="0"/>
            <w:tcW w:w="1199" w:type="dxa"/>
          </w:tcPr>
          <w:p w14:paraId="7E9CB1A6" w14:textId="77777777" w:rsidR="00F27423" w:rsidRPr="00915B33" w:rsidRDefault="00F27423">
            <w:pPr>
              <w:spacing w:line="240" w:lineRule="auto"/>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2011</w:t>
            </w:r>
          </w:p>
        </w:tc>
        <w:tc>
          <w:tcPr>
            <w:tcW w:w="940" w:type="dxa"/>
          </w:tcPr>
          <w:p w14:paraId="5C582EEE"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51,812</w:t>
            </w:r>
          </w:p>
        </w:tc>
        <w:tc>
          <w:tcPr>
            <w:cnfStyle w:val="000010000000" w:firstRow="0" w:lastRow="0" w:firstColumn="0" w:lastColumn="0" w:oddVBand="1" w:evenVBand="0" w:oddHBand="0" w:evenHBand="0" w:firstRowFirstColumn="0" w:firstRowLastColumn="0" w:lastRowFirstColumn="0" w:lastRowLastColumn="0"/>
            <w:tcW w:w="1479" w:type="dxa"/>
          </w:tcPr>
          <w:p w14:paraId="3E0D4397" w14:textId="77777777" w:rsidR="00F27423" w:rsidRPr="00915B33" w:rsidRDefault="00F27423">
            <w:pPr>
              <w:spacing w:line="240" w:lineRule="auto"/>
              <w:jc w:val="center"/>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34,813</w:t>
            </w:r>
          </w:p>
        </w:tc>
        <w:tc>
          <w:tcPr>
            <w:tcW w:w="1980" w:type="dxa"/>
          </w:tcPr>
          <w:p w14:paraId="1DE6DD9C"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900,303</w:t>
            </w:r>
          </w:p>
        </w:tc>
        <w:tc>
          <w:tcPr>
            <w:cnfStyle w:val="000010000000" w:firstRow="0" w:lastRow="0" w:firstColumn="0" w:lastColumn="0" w:oddVBand="1" w:evenVBand="0" w:oddHBand="0" w:evenHBand="0" w:firstRowFirstColumn="0" w:firstRowLastColumn="0" w:lastRowFirstColumn="0" w:lastRowLastColumn="0"/>
            <w:tcW w:w="1602" w:type="dxa"/>
          </w:tcPr>
          <w:p w14:paraId="3CD076C6" w14:textId="77777777" w:rsidR="00F27423" w:rsidRPr="00915B33" w:rsidRDefault="00F27423">
            <w:pPr>
              <w:spacing w:line="240" w:lineRule="auto"/>
              <w:jc w:val="center"/>
              <w:rPr>
                <w:rFonts w:ascii="Times New Roman" w:hAnsi="Times New Roman" w:cs="Times New Roman"/>
                <w:color w:val="000000" w:themeColor="text1"/>
                <w:sz w:val="18"/>
                <w:szCs w:val="18"/>
              </w:rPr>
            </w:pPr>
            <w:r w:rsidRPr="00915B33">
              <w:rPr>
                <w:rFonts w:ascii="Times New Roman" w:eastAsia="Times New Roman" w:hAnsi="Times New Roman" w:cs="Times New Roman"/>
                <w:color w:val="000000" w:themeColor="text1"/>
                <w:sz w:val="18"/>
                <w:szCs w:val="18"/>
                <w:lang w:eastAsia="fr-FR"/>
              </w:rPr>
              <w:t>468,749</w:t>
            </w:r>
          </w:p>
        </w:tc>
      </w:tr>
      <w:tr w:rsidR="00915B33" w:rsidRPr="00915B33" w14:paraId="1A502FA2" w14:textId="77777777" w:rsidTr="001340E3">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1199" w:type="dxa"/>
          </w:tcPr>
          <w:p w14:paraId="799E3450" w14:textId="77777777" w:rsidR="00F27423" w:rsidRPr="00915B33" w:rsidRDefault="00F27423">
            <w:pPr>
              <w:spacing w:line="240" w:lineRule="auto"/>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2012</w:t>
            </w:r>
          </w:p>
        </w:tc>
        <w:tc>
          <w:tcPr>
            <w:tcW w:w="940" w:type="dxa"/>
          </w:tcPr>
          <w:p w14:paraId="4549E2B0"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25,144</w:t>
            </w:r>
          </w:p>
        </w:tc>
        <w:tc>
          <w:tcPr>
            <w:cnfStyle w:val="000010000000" w:firstRow="0" w:lastRow="0" w:firstColumn="0" w:lastColumn="0" w:oddVBand="1" w:evenVBand="0" w:oddHBand="0" w:evenHBand="0" w:firstRowFirstColumn="0" w:firstRowLastColumn="0" w:lastRowFirstColumn="0" w:lastRowLastColumn="0"/>
            <w:tcW w:w="1479" w:type="dxa"/>
          </w:tcPr>
          <w:p w14:paraId="3E8A5D11" w14:textId="77777777" w:rsidR="00F27423" w:rsidRPr="00915B33" w:rsidRDefault="00F27423">
            <w:pPr>
              <w:spacing w:line="240" w:lineRule="auto"/>
              <w:jc w:val="center"/>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30,024</w:t>
            </w:r>
          </w:p>
        </w:tc>
        <w:tc>
          <w:tcPr>
            <w:tcW w:w="1980" w:type="dxa"/>
          </w:tcPr>
          <w:p w14:paraId="5D213AED"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1078,607</w:t>
            </w:r>
          </w:p>
        </w:tc>
        <w:tc>
          <w:tcPr>
            <w:cnfStyle w:val="000010000000" w:firstRow="0" w:lastRow="0" w:firstColumn="0" w:lastColumn="0" w:oddVBand="1" w:evenVBand="0" w:oddHBand="0" w:evenHBand="0" w:firstRowFirstColumn="0" w:firstRowLastColumn="0" w:lastRowFirstColumn="0" w:lastRowLastColumn="0"/>
            <w:tcW w:w="1602" w:type="dxa"/>
          </w:tcPr>
          <w:p w14:paraId="5EDE8990" w14:textId="77777777" w:rsidR="00F27423" w:rsidRPr="00915B33" w:rsidRDefault="00F27423">
            <w:pPr>
              <w:spacing w:line="240" w:lineRule="auto"/>
              <w:jc w:val="center"/>
              <w:rPr>
                <w:rFonts w:ascii="Times New Roman" w:hAnsi="Times New Roman" w:cs="Times New Roman"/>
                <w:color w:val="000000" w:themeColor="text1"/>
                <w:sz w:val="18"/>
                <w:szCs w:val="18"/>
              </w:rPr>
            </w:pPr>
            <w:r w:rsidRPr="00915B33">
              <w:rPr>
                <w:rFonts w:ascii="Times New Roman" w:eastAsia="Times New Roman" w:hAnsi="Times New Roman" w:cs="Times New Roman"/>
                <w:color w:val="000000" w:themeColor="text1"/>
                <w:sz w:val="18"/>
                <w:szCs w:val="18"/>
                <w:lang w:eastAsia="fr-FR"/>
              </w:rPr>
              <w:t>566,19</w:t>
            </w:r>
          </w:p>
        </w:tc>
      </w:tr>
      <w:tr w:rsidR="00915B33" w:rsidRPr="00915B33" w14:paraId="75AB6FCB" w14:textId="77777777" w:rsidTr="001340E3">
        <w:trPr>
          <w:trHeight w:val="300"/>
          <w:jc w:val="center"/>
        </w:trPr>
        <w:tc>
          <w:tcPr>
            <w:cnfStyle w:val="000010000000" w:firstRow="0" w:lastRow="0" w:firstColumn="0" w:lastColumn="0" w:oddVBand="1" w:evenVBand="0" w:oddHBand="0" w:evenHBand="0" w:firstRowFirstColumn="0" w:firstRowLastColumn="0" w:lastRowFirstColumn="0" w:lastRowLastColumn="0"/>
            <w:tcW w:w="1199" w:type="dxa"/>
          </w:tcPr>
          <w:p w14:paraId="114016EC" w14:textId="77777777" w:rsidR="00F27423" w:rsidRPr="00915B33" w:rsidRDefault="00F27423">
            <w:pPr>
              <w:spacing w:line="240" w:lineRule="auto"/>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2013</w:t>
            </w:r>
          </w:p>
        </w:tc>
        <w:tc>
          <w:tcPr>
            <w:tcW w:w="940" w:type="dxa"/>
          </w:tcPr>
          <w:p w14:paraId="62BC10A2"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24,966</w:t>
            </w:r>
          </w:p>
        </w:tc>
        <w:tc>
          <w:tcPr>
            <w:cnfStyle w:val="000010000000" w:firstRow="0" w:lastRow="0" w:firstColumn="0" w:lastColumn="0" w:oddVBand="1" w:evenVBand="0" w:oddHBand="0" w:evenHBand="0" w:firstRowFirstColumn="0" w:firstRowLastColumn="0" w:lastRowFirstColumn="0" w:lastRowLastColumn="0"/>
            <w:tcW w:w="1479" w:type="dxa"/>
          </w:tcPr>
          <w:p w14:paraId="63D6F9D4" w14:textId="77777777" w:rsidR="00F27423" w:rsidRPr="00915B33" w:rsidRDefault="00F27423">
            <w:pPr>
              <w:spacing w:line="240" w:lineRule="auto"/>
              <w:jc w:val="center"/>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89,254</w:t>
            </w:r>
          </w:p>
        </w:tc>
        <w:tc>
          <w:tcPr>
            <w:tcW w:w="1980" w:type="dxa"/>
          </w:tcPr>
          <w:p w14:paraId="493B3832"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1116,566</w:t>
            </w:r>
          </w:p>
        </w:tc>
        <w:tc>
          <w:tcPr>
            <w:cnfStyle w:val="000010000000" w:firstRow="0" w:lastRow="0" w:firstColumn="0" w:lastColumn="0" w:oddVBand="1" w:evenVBand="0" w:oddHBand="0" w:evenHBand="0" w:firstRowFirstColumn="0" w:firstRowLastColumn="0" w:lastRowFirstColumn="0" w:lastRowLastColumn="0"/>
            <w:tcW w:w="1602" w:type="dxa"/>
          </w:tcPr>
          <w:p w14:paraId="7FE7AB81" w14:textId="77777777" w:rsidR="00F27423" w:rsidRPr="00915B33" w:rsidRDefault="00F27423">
            <w:pPr>
              <w:spacing w:line="240" w:lineRule="auto"/>
              <w:jc w:val="center"/>
              <w:rPr>
                <w:rFonts w:ascii="Times New Roman" w:hAnsi="Times New Roman" w:cs="Times New Roman"/>
                <w:color w:val="000000" w:themeColor="text1"/>
                <w:sz w:val="18"/>
                <w:szCs w:val="18"/>
              </w:rPr>
            </w:pPr>
            <w:r w:rsidRPr="00915B33">
              <w:rPr>
                <w:rFonts w:ascii="Times New Roman" w:eastAsia="Times New Roman" w:hAnsi="Times New Roman" w:cs="Times New Roman"/>
                <w:color w:val="000000" w:themeColor="text1"/>
                <w:sz w:val="18"/>
                <w:szCs w:val="18"/>
                <w:lang w:eastAsia="fr-FR"/>
              </w:rPr>
              <w:t>541,665</w:t>
            </w:r>
          </w:p>
        </w:tc>
      </w:tr>
      <w:tr w:rsidR="00915B33" w:rsidRPr="00915B33" w14:paraId="0082C24A" w14:textId="77777777" w:rsidTr="001340E3">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1199" w:type="dxa"/>
          </w:tcPr>
          <w:p w14:paraId="4CECA95E" w14:textId="77777777" w:rsidR="00F27423" w:rsidRPr="00915B33" w:rsidRDefault="00F27423">
            <w:pPr>
              <w:spacing w:line="240" w:lineRule="auto"/>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2014</w:t>
            </w:r>
          </w:p>
        </w:tc>
        <w:tc>
          <w:tcPr>
            <w:tcW w:w="940" w:type="dxa"/>
          </w:tcPr>
          <w:p w14:paraId="2E2A6745"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64,614</w:t>
            </w:r>
          </w:p>
        </w:tc>
        <w:tc>
          <w:tcPr>
            <w:cnfStyle w:val="000010000000" w:firstRow="0" w:lastRow="0" w:firstColumn="0" w:lastColumn="0" w:oddVBand="1" w:evenVBand="0" w:oddHBand="0" w:evenHBand="0" w:firstRowFirstColumn="0" w:firstRowLastColumn="0" w:lastRowFirstColumn="0" w:lastRowLastColumn="0"/>
            <w:tcW w:w="1479" w:type="dxa"/>
          </w:tcPr>
          <w:p w14:paraId="2BC8A007" w14:textId="77777777" w:rsidR="00F27423" w:rsidRPr="00915B33" w:rsidRDefault="00F27423">
            <w:pPr>
              <w:spacing w:line="240" w:lineRule="auto"/>
              <w:jc w:val="center"/>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62,086</w:t>
            </w:r>
          </w:p>
        </w:tc>
        <w:tc>
          <w:tcPr>
            <w:tcW w:w="1980" w:type="dxa"/>
          </w:tcPr>
          <w:p w14:paraId="4AAFFDD7"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813,743</w:t>
            </w:r>
          </w:p>
        </w:tc>
        <w:tc>
          <w:tcPr>
            <w:cnfStyle w:val="000010000000" w:firstRow="0" w:lastRow="0" w:firstColumn="0" w:lastColumn="0" w:oddVBand="1" w:evenVBand="0" w:oddHBand="0" w:evenHBand="0" w:firstRowFirstColumn="0" w:firstRowLastColumn="0" w:lastRowFirstColumn="0" w:lastRowLastColumn="0"/>
            <w:tcW w:w="1602" w:type="dxa"/>
          </w:tcPr>
          <w:p w14:paraId="5CA9FE04" w14:textId="77777777" w:rsidR="00F27423" w:rsidRPr="00915B33" w:rsidRDefault="00F27423">
            <w:pPr>
              <w:spacing w:line="240" w:lineRule="auto"/>
              <w:jc w:val="center"/>
              <w:rPr>
                <w:rFonts w:ascii="Times New Roman" w:hAnsi="Times New Roman" w:cs="Times New Roman"/>
                <w:color w:val="000000" w:themeColor="text1"/>
                <w:sz w:val="18"/>
                <w:szCs w:val="18"/>
              </w:rPr>
            </w:pPr>
            <w:r w:rsidRPr="00915B33">
              <w:rPr>
                <w:rFonts w:ascii="Times New Roman" w:eastAsia="Times New Roman" w:hAnsi="Times New Roman" w:cs="Times New Roman"/>
                <w:color w:val="000000" w:themeColor="text1"/>
                <w:sz w:val="18"/>
                <w:szCs w:val="18"/>
                <w:lang w:eastAsia="fr-FR"/>
              </w:rPr>
              <w:t>487,007</w:t>
            </w:r>
          </w:p>
        </w:tc>
      </w:tr>
      <w:tr w:rsidR="00915B33" w:rsidRPr="00915B33" w14:paraId="6318AA2A" w14:textId="77777777" w:rsidTr="001340E3">
        <w:trPr>
          <w:trHeight w:val="300"/>
          <w:jc w:val="center"/>
        </w:trPr>
        <w:tc>
          <w:tcPr>
            <w:cnfStyle w:val="000010000000" w:firstRow="0" w:lastRow="0" w:firstColumn="0" w:lastColumn="0" w:oddVBand="1" w:evenVBand="0" w:oddHBand="0" w:evenHBand="0" w:firstRowFirstColumn="0" w:firstRowLastColumn="0" w:lastRowFirstColumn="0" w:lastRowLastColumn="0"/>
            <w:tcW w:w="1199" w:type="dxa"/>
          </w:tcPr>
          <w:p w14:paraId="33643466" w14:textId="77777777" w:rsidR="00137B01" w:rsidRPr="00915B33" w:rsidRDefault="00137B01" w:rsidP="00916CF6">
            <w:pPr>
              <w:spacing w:line="240" w:lineRule="auto"/>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2015</w:t>
            </w:r>
          </w:p>
        </w:tc>
        <w:tc>
          <w:tcPr>
            <w:tcW w:w="940" w:type="dxa"/>
          </w:tcPr>
          <w:p w14:paraId="263B0AA5" w14:textId="77777777" w:rsidR="00137B01" w:rsidRPr="00915B33" w:rsidRDefault="00137B01" w:rsidP="00916CF6">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84,866</w:t>
            </w:r>
          </w:p>
        </w:tc>
        <w:tc>
          <w:tcPr>
            <w:cnfStyle w:val="000010000000" w:firstRow="0" w:lastRow="0" w:firstColumn="0" w:lastColumn="0" w:oddVBand="1" w:evenVBand="0" w:oddHBand="0" w:evenHBand="0" w:firstRowFirstColumn="0" w:firstRowLastColumn="0" w:lastRowFirstColumn="0" w:lastRowLastColumn="0"/>
            <w:tcW w:w="1479" w:type="dxa"/>
          </w:tcPr>
          <w:p w14:paraId="421415E6" w14:textId="77777777" w:rsidR="00137B01" w:rsidRPr="00915B33" w:rsidRDefault="00137B01" w:rsidP="00916CF6">
            <w:pPr>
              <w:spacing w:line="240" w:lineRule="auto"/>
              <w:jc w:val="center"/>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26,869</w:t>
            </w:r>
          </w:p>
        </w:tc>
        <w:tc>
          <w:tcPr>
            <w:tcW w:w="1980" w:type="dxa"/>
          </w:tcPr>
          <w:p w14:paraId="1798F25C" w14:textId="77777777" w:rsidR="00137B01" w:rsidRPr="00915B33" w:rsidRDefault="00137B01" w:rsidP="00916CF6">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ascii="Times New Roman" w:eastAsia="Times New Roman" w:hAnsi="Times New Roman" w:cs="Times New Roman"/>
                <w:color w:val="000000" w:themeColor="text1"/>
                <w:sz w:val="18"/>
                <w:szCs w:val="18"/>
                <w:lang w:eastAsia="fr-FR"/>
              </w:rPr>
              <w:t>646,765</w:t>
            </w:r>
          </w:p>
        </w:tc>
        <w:tc>
          <w:tcPr>
            <w:cnfStyle w:val="000010000000" w:firstRow="0" w:lastRow="0" w:firstColumn="0" w:lastColumn="0" w:oddVBand="1" w:evenVBand="0" w:oddHBand="0" w:evenHBand="0" w:firstRowFirstColumn="0" w:firstRowLastColumn="0" w:lastRowFirstColumn="0" w:lastRowLastColumn="0"/>
            <w:tcW w:w="1602" w:type="dxa"/>
          </w:tcPr>
          <w:p w14:paraId="61966E77" w14:textId="77777777" w:rsidR="00137B01" w:rsidRPr="00915B33" w:rsidRDefault="00137B01" w:rsidP="00916CF6">
            <w:pPr>
              <w:spacing w:line="240" w:lineRule="auto"/>
              <w:jc w:val="center"/>
              <w:rPr>
                <w:rFonts w:ascii="Times New Roman" w:hAnsi="Times New Roman" w:cs="Times New Roman"/>
                <w:color w:val="000000" w:themeColor="text1"/>
                <w:sz w:val="18"/>
                <w:szCs w:val="18"/>
              </w:rPr>
            </w:pPr>
            <w:r w:rsidRPr="00915B33">
              <w:rPr>
                <w:rFonts w:ascii="Times New Roman" w:eastAsia="Times New Roman" w:hAnsi="Times New Roman" w:cs="Times New Roman"/>
                <w:color w:val="000000" w:themeColor="text1"/>
                <w:sz w:val="18"/>
                <w:szCs w:val="18"/>
                <w:lang w:eastAsia="fr-FR"/>
              </w:rPr>
              <w:t>345,232</w:t>
            </w:r>
          </w:p>
        </w:tc>
      </w:tr>
      <w:tr w:rsidR="00915B33" w:rsidRPr="00915B33" w14:paraId="2B36D182" w14:textId="77777777" w:rsidTr="001340E3">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1199" w:type="dxa"/>
          </w:tcPr>
          <w:p w14:paraId="4444EC6B" w14:textId="77777777" w:rsidR="00137B01" w:rsidRPr="00915B33" w:rsidRDefault="00137B01">
            <w:pPr>
              <w:spacing w:line="240" w:lineRule="auto"/>
              <w:rPr>
                <w:rFonts w:ascii="Times New Roman" w:eastAsia="Times New Roman" w:hAnsi="Times New Roman" w:cs="Times New Roman"/>
                <w:b/>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2016</w:t>
            </w:r>
          </w:p>
        </w:tc>
        <w:tc>
          <w:tcPr>
            <w:tcW w:w="940" w:type="dxa"/>
          </w:tcPr>
          <w:p w14:paraId="232E9293" w14:textId="77777777" w:rsidR="00137B01" w:rsidRPr="00915B33" w:rsidRDefault="00A4712C" w:rsidP="00A471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cs="Calibri"/>
                <w:b/>
                <w:bCs/>
                <w:color w:val="000000" w:themeColor="text1"/>
                <w:sz w:val="18"/>
                <w:szCs w:val="18"/>
              </w:rPr>
              <w:t>34,958</w:t>
            </w:r>
          </w:p>
        </w:tc>
        <w:tc>
          <w:tcPr>
            <w:cnfStyle w:val="000010000000" w:firstRow="0" w:lastRow="0" w:firstColumn="0" w:lastColumn="0" w:oddVBand="1" w:evenVBand="0" w:oddHBand="0" w:evenHBand="0" w:firstRowFirstColumn="0" w:firstRowLastColumn="0" w:lastRowFirstColumn="0" w:lastRowLastColumn="0"/>
            <w:tcW w:w="1479" w:type="dxa"/>
          </w:tcPr>
          <w:p w14:paraId="4CB9D2BD" w14:textId="77777777" w:rsidR="00137B01" w:rsidRPr="00915B33" w:rsidRDefault="00A4712C" w:rsidP="00A4712C">
            <w:pPr>
              <w:jc w:val="center"/>
              <w:rPr>
                <w:rFonts w:ascii="Times New Roman" w:eastAsia="Times New Roman" w:hAnsi="Times New Roman" w:cs="Times New Roman"/>
                <w:color w:val="000000" w:themeColor="text1"/>
                <w:sz w:val="18"/>
                <w:szCs w:val="18"/>
                <w:lang w:eastAsia="fr-FR"/>
              </w:rPr>
            </w:pPr>
            <w:r w:rsidRPr="00915B33">
              <w:rPr>
                <w:rFonts w:cs="Calibri"/>
                <w:b/>
                <w:bCs/>
                <w:color w:val="000000" w:themeColor="text1"/>
                <w:sz w:val="18"/>
                <w:szCs w:val="18"/>
              </w:rPr>
              <w:t>21,321</w:t>
            </w:r>
          </w:p>
        </w:tc>
        <w:tc>
          <w:tcPr>
            <w:tcW w:w="1980" w:type="dxa"/>
          </w:tcPr>
          <w:p w14:paraId="0FD6857D" w14:textId="77777777" w:rsidR="00137B01" w:rsidRPr="00915B33" w:rsidRDefault="00A4712C" w:rsidP="00A471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cs="Calibri"/>
                <w:b/>
                <w:bCs/>
                <w:color w:val="000000" w:themeColor="text1"/>
                <w:sz w:val="18"/>
                <w:szCs w:val="18"/>
              </w:rPr>
              <w:t>469,86</w:t>
            </w:r>
          </w:p>
        </w:tc>
        <w:tc>
          <w:tcPr>
            <w:cnfStyle w:val="000010000000" w:firstRow="0" w:lastRow="0" w:firstColumn="0" w:lastColumn="0" w:oddVBand="1" w:evenVBand="0" w:oddHBand="0" w:evenHBand="0" w:firstRowFirstColumn="0" w:firstRowLastColumn="0" w:lastRowFirstColumn="0" w:lastRowLastColumn="0"/>
            <w:tcW w:w="1602" w:type="dxa"/>
          </w:tcPr>
          <w:p w14:paraId="33CBC44F" w14:textId="77777777" w:rsidR="00137B01" w:rsidRPr="00915B33" w:rsidRDefault="00A4712C" w:rsidP="00A4712C">
            <w:pPr>
              <w:jc w:val="center"/>
              <w:rPr>
                <w:rFonts w:ascii="Times New Roman" w:eastAsia="Times New Roman" w:hAnsi="Times New Roman" w:cs="Times New Roman"/>
                <w:color w:val="000000" w:themeColor="text1"/>
                <w:sz w:val="18"/>
                <w:szCs w:val="18"/>
                <w:lang w:eastAsia="fr-FR"/>
              </w:rPr>
            </w:pPr>
            <w:r w:rsidRPr="00915B33">
              <w:rPr>
                <w:rFonts w:cs="Calibri"/>
                <w:b/>
                <w:bCs/>
                <w:color w:val="000000" w:themeColor="text1"/>
                <w:sz w:val="18"/>
                <w:szCs w:val="18"/>
              </w:rPr>
              <w:t>1132,083</w:t>
            </w:r>
          </w:p>
        </w:tc>
      </w:tr>
      <w:tr w:rsidR="00915B33" w:rsidRPr="00915B33" w14:paraId="164722B2" w14:textId="77777777" w:rsidTr="001340E3">
        <w:trPr>
          <w:trHeight w:val="300"/>
          <w:jc w:val="center"/>
        </w:trPr>
        <w:tc>
          <w:tcPr>
            <w:cnfStyle w:val="000010000000" w:firstRow="0" w:lastRow="0" w:firstColumn="0" w:lastColumn="0" w:oddVBand="1" w:evenVBand="0" w:oddHBand="0" w:evenHBand="0" w:firstRowFirstColumn="0" w:firstRowLastColumn="0" w:lastRowFirstColumn="0" w:lastRowLastColumn="0"/>
            <w:tcW w:w="1199" w:type="dxa"/>
          </w:tcPr>
          <w:p w14:paraId="711034A7" w14:textId="77777777" w:rsidR="00137B01" w:rsidRPr="00915B33" w:rsidRDefault="00137B01">
            <w:pPr>
              <w:spacing w:line="240" w:lineRule="auto"/>
              <w:rPr>
                <w:rFonts w:ascii="Times New Roman" w:eastAsia="Times New Roman" w:hAnsi="Times New Roman" w:cs="Times New Roman"/>
                <w:b/>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2017</w:t>
            </w:r>
          </w:p>
        </w:tc>
        <w:tc>
          <w:tcPr>
            <w:tcW w:w="940" w:type="dxa"/>
          </w:tcPr>
          <w:p w14:paraId="15C0CF00" w14:textId="77777777" w:rsidR="00137B01" w:rsidRPr="00915B33" w:rsidRDefault="00A4712C" w:rsidP="00A471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cs="Calibri"/>
                <w:b/>
                <w:bCs/>
                <w:color w:val="000000" w:themeColor="text1"/>
                <w:sz w:val="18"/>
                <w:szCs w:val="18"/>
              </w:rPr>
              <w:t>68,634</w:t>
            </w:r>
          </w:p>
        </w:tc>
        <w:tc>
          <w:tcPr>
            <w:cnfStyle w:val="000010000000" w:firstRow="0" w:lastRow="0" w:firstColumn="0" w:lastColumn="0" w:oddVBand="1" w:evenVBand="0" w:oddHBand="0" w:evenHBand="0" w:firstRowFirstColumn="0" w:firstRowLastColumn="0" w:lastRowFirstColumn="0" w:lastRowLastColumn="0"/>
            <w:tcW w:w="1479" w:type="dxa"/>
          </w:tcPr>
          <w:p w14:paraId="20D1EEDF" w14:textId="77777777" w:rsidR="00137B01" w:rsidRPr="00915B33" w:rsidRDefault="00A4712C" w:rsidP="00A4712C">
            <w:pPr>
              <w:jc w:val="center"/>
              <w:rPr>
                <w:rFonts w:ascii="Times New Roman" w:eastAsia="Times New Roman" w:hAnsi="Times New Roman" w:cs="Times New Roman"/>
                <w:color w:val="000000" w:themeColor="text1"/>
                <w:sz w:val="18"/>
                <w:szCs w:val="18"/>
                <w:lang w:eastAsia="fr-FR"/>
              </w:rPr>
            </w:pPr>
            <w:r w:rsidRPr="00915B33">
              <w:rPr>
                <w:rFonts w:cs="Calibri"/>
                <w:b/>
                <w:bCs/>
                <w:color w:val="000000" w:themeColor="text1"/>
                <w:sz w:val="18"/>
                <w:szCs w:val="18"/>
              </w:rPr>
              <w:t>25,06</w:t>
            </w:r>
          </w:p>
        </w:tc>
        <w:tc>
          <w:tcPr>
            <w:tcW w:w="1980" w:type="dxa"/>
          </w:tcPr>
          <w:p w14:paraId="30C59982" w14:textId="77777777" w:rsidR="00137B01" w:rsidRPr="00915B33" w:rsidRDefault="00A4712C" w:rsidP="00A471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cs="Calibri"/>
                <w:b/>
                <w:bCs/>
                <w:color w:val="000000" w:themeColor="text1"/>
                <w:sz w:val="18"/>
                <w:szCs w:val="18"/>
              </w:rPr>
              <w:t>436,471</w:t>
            </w:r>
          </w:p>
        </w:tc>
        <w:tc>
          <w:tcPr>
            <w:cnfStyle w:val="000010000000" w:firstRow="0" w:lastRow="0" w:firstColumn="0" w:lastColumn="0" w:oddVBand="1" w:evenVBand="0" w:oddHBand="0" w:evenHBand="0" w:firstRowFirstColumn="0" w:firstRowLastColumn="0" w:lastRowFirstColumn="0" w:lastRowLastColumn="0"/>
            <w:tcW w:w="1602" w:type="dxa"/>
          </w:tcPr>
          <w:p w14:paraId="279EE86B" w14:textId="77777777" w:rsidR="00137B01" w:rsidRPr="00915B33" w:rsidRDefault="00A4712C" w:rsidP="00A4712C">
            <w:pPr>
              <w:jc w:val="center"/>
              <w:rPr>
                <w:rFonts w:ascii="Times New Roman" w:eastAsia="Times New Roman" w:hAnsi="Times New Roman" w:cs="Times New Roman"/>
                <w:color w:val="000000" w:themeColor="text1"/>
                <w:sz w:val="18"/>
                <w:szCs w:val="18"/>
                <w:lang w:eastAsia="fr-FR"/>
              </w:rPr>
            </w:pPr>
            <w:r w:rsidRPr="00915B33">
              <w:rPr>
                <w:rFonts w:cs="Calibri"/>
                <w:b/>
                <w:bCs/>
                <w:color w:val="000000" w:themeColor="text1"/>
                <w:sz w:val="18"/>
                <w:szCs w:val="18"/>
              </w:rPr>
              <w:t>1191,783</w:t>
            </w:r>
          </w:p>
        </w:tc>
      </w:tr>
      <w:tr w:rsidR="00915B33" w:rsidRPr="00915B33" w14:paraId="725BC390" w14:textId="77777777" w:rsidTr="001340E3">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1199" w:type="dxa"/>
          </w:tcPr>
          <w:p w14:paraId="420AC7A1" w14:textId="77777777" w:rsidR="00A4712C" w:rsidRPr="00915B33" w:rsidRDefault="00A4712C" w:rsidP="00916CF6">
            <w:pPr>
              <w:spacing w:line="240" w:lineRule="auto"/>
              <w:rPr>
                <w:rFonts w:ascii="Times New Roman" w:eastAsia="Times New Roman" w:hAnsi="Times New Roman" w:cs="Times New Roman"/>
                <w:b/>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2018</w:t>
            </w:r>
          </w:p>
        </w:tc>
        <w:tc>
          <w:tcPr>
            <w:tcW w:w="940" w:type="dxa"/>
          </w:tcPr>
          <w:p w14:paraId="32993179" w14:textId="77777777" w:rsidR="00A4712C" w:rsidRPr="00915B33" w:rsidRDefault="00A4712C" w:rsidP="00916CF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cs="Calibri"/>
                <w:b/>
                <w:bCs/>
                <w:color w:val="000000" w:themeColor="text1"/>
                <w:sz w:val="18"/>
                <w:szCs w:val="18"/>
              </w:rPr>
              <w:t>55,812</w:t>
            </w:r>
          </w:p>
        </w:tc>
        <w:tc>
          <w:tcPr>
            <w:cnfStyle w:val="000010000000" w:firstRow="0" w:lastRow="0" w:firstColumn="0" w:lastColumn="0" w:oddVBand="1" w:evenVBand="0" w:oddHBand="0" w:evenHBand="0" w:firstRowFirstColumn="0" w:firstRowLastColumn="0" w:lastRowFirstColumn="0" w:lastRowLastColumn="0"/>
            <w:tcW w:w="1479" w:type="dxa"/>
          </w:tcPr>
          <w:p w14:paraId="3A0BBB76" w14:textId="77777777" w:rsidR="00A4712C" w:rsidRPr="00915B33" w:rsidRDefault="00A4712C" w:rsidP="00916CF6">
            <w:pPr>
              <w:jc w:val="center"/>
              <w:rPr>
                <w:rFonts w:ascii="Times New Roman" w:eastAsia="Times New Roman" w:hAnsi="Times New Roman" w:cs="Times New Roman"/>
                <w:color w:val="000000" w:themeColor="text1"/>
                <w:sz w:val="18"/>
                <w:szCs w:val="18"/>
                <w:lang w:eastAsia="fr-FR"/>
              </w:rPr>
            </w:pPr>
            <w:r w:rsidRPr="00915B33">
              <w:rPr>
                <w:rFonts w:cs="Calibri"/>
                <w:b/>
                <w:bCs/>
                <w:color w:val="000000" w:themeColor="text1"/>
                <w:sz w:val="18"/>
                <w:szCs w:val="18"/>
              </w:rPr>
              <w:t>22,736</w:t>
            </w:r>
          </w:p>
        </w:tc>
        <w:tc>
          <w:tcPr>
            <w:tcW w:w="1980" w:type="dxa"/>
          </w:tcPr>
          <w:p w14:paraId="6F2362CC" w14:textId="77777777" w:rsidR="00A4712C" w:rsidRPr="00915B33" w:rsidRDefault="00A4712C" w:rsidP="00916CF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fr-FR"/>
              </w:rPr>
            </w:pPr>
            <w:r w:rsidRPr="00915B33">
              <w:rPr>
                <w:rFonts w:cs="Calibri"/>
                <w:b/>
                <w:bCs/>
                <w:color w:val="000000" w:themeColor="text1"/>
                <w:sz w:val="18"/>
                <w:szCs w:val="18"/>
              </w:rPr>
              <w:t>405,871</w:t>
            </w:r>
          </w:p>
        </w:tc>
        <w:tc>
          <w:tcPr>
            <w:cnfStyle w:val="000010000000" w:firstRow="0" w:lastRow="0" w:firstColumn="0" w:lastColumn="0" w:oddVBand="1" w:evenVBand="0" w:oddHBand="0" w:evenHBand="0" w:firstRowFirstColumn="0" w:firstRowLastColumn="0" w:lastRowFirstColumn="0" w:lastRowLastColumn="0"/>
            <w:tcW w:w="1602" w:type="dxa"/>
          </w:tcPr>
          <w:p w14:paraId="3B923082" w14:textId="77777777" w:rsidR="00A4712C" w:rsidRPr="00915B33" w:rsidRDefault="00A4712C" w:rsidP="00916CF6">
            <w:pPr>
              <w:jc w:val="center"/>
              <w:rPr>
                <w:rFonts w:ascii="Times New Roman" w:eastAsia="Times New Roman" w:hAnsi="Times New Roman" w:cs="Times New Roman"/>
                <w:color w:val="000000" w:themeColor="text1"/>
                <w:sz w:val="18"/>
                <w:szCs w:val="18"/>
                <w:lang w:eastAsia="fr-FR"/>
              </w:rPr>
            </w:pPr>
            <w:r w:rsidRPr="00915B33">
              <w:rPr>
                <w:rFonts w:cs="Calibri"/>
                <w:b/>
                <w:bCs/>
                <w:color w:val="000000" w:themeColor="text1"/>
                <w:sz w:val="18"/>
                <w:szCs w:val="18"/>
              </w:rPr>
              <w:t>865,117</w:t>
            </w:r>
          </w:p>
        </w:tc>
      </w:tr>
      <w:tr w:rsidR="00915B33" w:rsidRPr="00915B33" w14:paraId="445EC28E" w14:textId="77777777" w:rsidTr="001340E3">
        <w:trPr>
          <w:trHeight w:val="300"/>
          <w:jc w:val="center"/>
        </w:trPr>
        <w:tc>
          <w:tcPr>
            <w:cnfStyle w:val="000010000000" w:firstRow="0" w:lastRow="0" w:firstColumn="0" w:lastColumn="0" w:oddVBand="1" w:evenVBand="0" w:oddHBand="0" w:evenHBand="0" w:firstRowFirstColumn="0" w:firstRowLastColumn="0" w:lastRowFirstColumn="0" w:lastRowLastColumn="0"/>
            <w:tcW w:w="1199" w:type="dxa"/>
          </w:tcPr>
          <w:p w14:paraId="456A716F" w14:textId="77777777" w:rsidR="00134E41" w:rsidRPr="00915B33" w:rsidRDefault="00134E41" w:rsidP="00134E41">
            <w:pPr>
              <w:spacing w:line="240" w:lineRule="auto"/>
              <w:rPr>
                <w:rFonts w:ascii="Times New Roman" w:eastAsia="Times New Roman" w:hAnsi="Times New Roman" w:cs="Times New Roman"/>
                <w:b/>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2019</w:t>
            </w:r>
          </w:p>
        </w:tc>
        <w:tc>
          <w:tcPr>
            <w:tcW w:w="940" w:type="dxa"/>
          </w:tcPr>
          <w:p w14:paraId="1F8E8E8F" w14:textId="77777777" w:rsidR="00134E41" w:rsidRPr="00915B33" w:rsidRDefault="00134E41" w:rsidP="00134E41">
            <w:pPr>
              <w:jc w:val="center"/>
              <w:cnfStyle w:val="000000000000" w:firstRow="0" w:lastRow="0" w:firstColumn="0" w:lastColumn="0" w:oddVBand="0" w:evenVBand="0" w:oddHBand="0" w:evenHBand="0" w:firstRowFirstColumn="0" w:firstRowLastColumn="0" w:lastRowFirstColumn="0" w:lastRowLastColumn="0"/>
              <w:rPr>
                <w:rFonts w:cs="Calibri"/>
                <w:b/>
                <w:bCs/>
                <w:color w:val="000000" w:themeColor="text1"/>
                <w:sz w:val="18"/>
                <w:szCs w:val="18"/>
              </w:rPr>
            </w:pPr>
            <w:r w:rsidRPr="00915B33">
              <w:rPr>
                <w:rFonts w:cs="Calibri"/>
                <w:b/>
                <w:bCs/>
                <w:color w:val="000000" w:themeColor="text1"/>
                <w:sz w:val="18"/>
                <w:szCs w:val="18"/>
              </w:rPr>
              <w:t>83,236</w:t>
            </w:r>
          </w:p>
        </w:tc>
        <w:tc>
          <w:tcPr>
            <w:cnfStyle w:val="000010000000" w:firstRow="0" w:lastRow="0" w:firstColumn="0" w:lastColumn="0" w:oddVBand="1" w:evenVBand="0" w:oddHBand="0" w:evenHBand="0" w:firstRowFirstColumn="0" w:firstRowLastColumn="0" w:lastRowFirstColumn="0" w:lastRowLastColumn="0"/>
            <w:tcW w:w="1479" w:type="dxa"/>
          </w:tcPr>
          <w:p w14:paraId="3AFFD89E" w14:textId="77777777" w:rsidR="00134E41" w:rsidRPr="00915B33" w:rsidRDefault="00134E41" w:rsidP="00134E41">
            <w:pPr>
              <w:jc w:val="center"/>
              <w:rPr>
                <w:rFonts w:cs="Calibri"/>
                <w:b/>
                <w:bCs/>
                <w:color w:val="000000" w:themeColor="text1"/>
                <w:sz w:val="18"/>
                <w:szCs w:val="18"/>
              </w:rPr>
            </w:pPr>
            <w:r w:rsidRPr="00915B33">
              <w:rPr>
                <w:rFonts w:cs="Calibri"/>
                <w:b/>
                <w:bCs/>
                <w:color w:val="000000" w:themeColor="text1"/>
                <w:sz w:val="18"/>
                <w:szCs w:val="18"/>
              </w:rPr>
              <w:t>15,061</w:t>
            </w:r>
          </w:p>
        </w:tc>
        <w:tc>
          <w:tcPr>
            <w:tcW w:w="1980" w:type="dxa"/>
          </w:tcPr>
          <w:p w14:paraId="042608FB" w14:textId="77777777" w:rsidR="00134E41" w:rsidRPr="00915B33" w:rsidRDefault="00134E41" w:rsidP="00134E41">
            <w:pPr>
              <w:jc w:val="center"/>
              <w:cnfStyle w:val="000000000000" w:firstRow="0" w:lastRow="0" w:firstColumn="0" w:lastColumn="0" w:oddVBand="0" w:evenVBand="0" w:oddHBand="0" w:evenHBand="0" w:firstRowFirstColumn="0" w:firstRowLastColumn="0" w:lastRowFirstColumn="0" w:lastRowLastColumn="0"/>
              <w:rPr>
                <w:rFonts w:cs="Calibri"/>
                <w:b/>
                <w:bCs/>
                <w:color w:val="000000" w:themeColor="text1"/>
                <w:sz w:val="18"/>
                <w:szCs w:val="18"/>
              </w:rPr>
            </w:pPr>
            <w:r w:rsidRPr="00915B33">
              <w:rPr>
                <w:rFonts w:cs="Calibri"/>
                <w:b/>
                <w:bCs/>
                <w:color w:val="000000" w:themeColor="text1"/>
                <w:sz w:val="18"/>
                <w:szCs w:val="18"/>
              </w:rPr>
              <w:t>445,49</w:t>
            </w:r>
          </w:p>
        </w:tc>
        <w:tc>
          <w:tcPr>
            <w:cnfStyle w:val="000010000000" w:firstRow="0" w:lastRow="0" w:firstColumn="0" w:lastColumn="0" w:oddVBand="1" w:evenVBand="0" w:oddHBand="0" w:evenHBand="0" w:firstRowFirstColumn="0" w:firstRowLastColumn="0" w:lastRowFirstColumn="0" w:lastRowLastColumn="0"/>
            <w:tcW w:w="1602" w:type="dxa"/>
          </w:tcPr>
          <w:p w14:paraId="42334805" w14:textId="77777777" w:rsidR="00134E41" w:rsidRPr="00915B33" w:rsidRDefault="00134E41" w:rsidP="00134E41">
            <w:pPr>
              <w:jc w:val="center"/>
              <w:rPr>
                <w:rFonts w:cs="Calibri"/>
                <w:b/>
                <w:bCs/>
                <w:color w:val="000000" w:themeColor="text1"/>
                <w:sz w:val="18"/>
                <w:szCs w:val="18"/>
              </w:rPr>
            </w:pPr>
            <w:r w:rsidRPr="00915B33">
              <w:rPr>
                <w:rFonts w:cs="Calibri"/>
                <w:b/>
                <w:bCs/>
                <w:color w:val="000000" w:themeColor="text1"/>
                <w:sz w:val="18"/>
                <w:szCs w:val="18"/>
              </w:rPr>
              <w:t>888,663</w:t>
            </w:r>
          </w:p>
        </w:tc>
      </w:tr>
      <w:tr w:rsidR="00915B33" w:rsidRPr="00915B33" w14:paraId="561E6FF0" w14:textId="77777777" w:rsidTr="001340E3">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1199" w:type="dxa"/>
          </w:tcPr>
          <w:p w14:paraId="025A9A28" w14:textId="77777777" w:rsidR="00134E41" w:rsidRPr="00915B33" w:rsidRDefault="00134E41">
            <w:pPr>
              <w:spacing w:line="240" w:lineRule="auto"/>
              <w:rPr>
                <w:rFonts w:ascii="Times New Roman" w:eastAsia="Times New Roman" w:hAnsi="Times New Roman" w:cs="Times New Roman"/>
                <w:b/>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2020</w:t>
            </w:r>
          </w:p>
        </w:tc>
        <w:tc>
          <w:tcPr>
            <w:tcW w:w="940" w:type="dxa"/>
          </w:tcPr>
          <w:p w14:paraId="68D89877" w14:textId="77777777" w:rsidR="00134E41" w:rsidRPr="00915B33" w:rsidRDefault="00134E41" w:rsidP="00A4712C">
            <w:pPr>
              <w:jc w:val="center"/>
              <w:cnfStyle w:val="000000100000" w:firstRow="0" w:lastRow="0" w:firstColumn="0" w:lastColumn="0" w:oddVBand="0" w:evenVBand="0" w:oddHBand="1" w:evenHBand="0" w:firstRowFirstColumn="0" w:firstRowLastColumn="0" w:lastRowFirstColumn="0" w:lastRowLastColumn="0"/>
              <w:rPr>
                <w:rFonts w:cs="Calibri"/>
                <w:b/>
                <w:bCs/>
                <w:color w:val="000000" w:themeColor="text1"/>
                <w:sz w:val="18"/>
                <w:szCs w:val="18"/>
              </w:rPr>
            </w:pPr>
            <w:r w:rsidRPr="00915B33">
              <w:rPr>
                <w:rFonts w:cs="Calibri"/>
                <w:b/>
                <w:bCs/>
                <w:color w:val="000000" w:themeColor="text1"/>
                <w:sz w:val="18"/>
                <w:szCs w:val="18"/>
              </w:rPr>
              <w:t>114</w:t>
            </w:r>
          </w:p>
        </w:tc>
        <w:tc>
          <w:tcPr>
            <w:cnfStyle w:val="000010000000" w:firstRow="0" w:lastRow="0" w:firstColumn="0" w:lastColumn="0" w:oddVBand="1" w:evenVBand="0" w:oddHBand="0" w:evenHBand="0" w:firstRowFirstColumn="0" w:firstRowLastColumn="0" w:lastRowFirstColumn="0" w:lastRowLastColumn="0"/>
            <w:tcW w:w="1479" w:type="dxa"/>
          </w:tcPr>
          <w:p w14:paraId="585E0651" w14:textId="77777777" w:rsidR="00134E41" w:rsidRPr="00915B33" w:rsidRDefault="00134E41" w:rsidP="00A4712C">
            <w:pPr>
              <w:jc w:val="center"/>
              <w:rPr>
                <w:rFonts w:cs="Calibri"/>
                <w:b/>
                <w:bCs/>
                <w:color w:val="000000" w:themeColor="text1"/>
                <w:sz w:val="18"/>
                <w:szCs w:val="18"/>
              </w:rPr>
            </w:pPr>
            <w:r w:rsidRPr="00915B33">
              <w:rPr>
                <w:rFonts w:cs="Calibri"/>
                <w:b/>
                <w:bCs/>
                <w:color w:val="000000" w:themeColor="text1"/>
                <w:sz w:val="18"/>
                <w:szCs w:val="18"/>
              </w:rPr>
              <w:t>18</w:t>
            </w:r>
          </w:p>
        </w:tc>
        <w:tc>
          <w:tcPr>
            <w:tcW w:w="1980" w:type="dxa"/>
          </w:tcPr>
          <w:p w14:paraId="2A253049" w14:textId="77777777" w:rsidR="00134E41" w:rsidRPr="00915B33" w:rsidRDefault="00134E41" w:rsidP="00A4712C">
            <w:pPr>
              <w:jc w:val="center"/>
              <w:cnfStyle w:val="000000100000" w:firstRow="0" w:lastRow="0" w:firstColumn="0" w:lastColumn="0" w:oddVBand="0" w:evenVBand="0" w:oddHBand="1" w:evenHBand="0" w:firstRowFirstColumn="0" w:firstRowLastColumn="0" w:lastRowFirstColumn="0" w:lastRowLastColumn="0"/>
              <w:rPr>
                <w:rFonts w:cs="Calibri"/>
                <w:b/>
                <w:bCs/>
                <w:color w:val="000000" w:themeColor="text1"/>
                <w:sz w:val="18"/>
                <w:szCs w:val="18"/>
              </w:rPr>
            </w:pPr>
            <w:r w:rsidRPr="00915B33">
              <w:rPr>
                <w:rFonts w:cs="Calibri"/>
                <w:b/>
                <w:bCs/>
                <w:color w:val="000000" w:themeColor="text1"/>
                <w:sz w:val="18"/>
                <w:szCs w:val="18"/>
              </w:rPr>
              <w:t>387</w:t>
            </w:r>
          </w:p>
        </w:tc>
        <w:tc>
          <w:tcPr>
            <w:cnfStyle w:val="000010000000" w:firstRow="0" w:lastRow="0" w:firstColumn="0" w:lastColumn="0" w:oddVBand="1" w:evenVBand="0" w:oddHBand="0" w:evenHBand="0" w:firstRowFirstColumn="0" w:firstRowLastColumn="0" w:lastRowFirstColumn="0" w:lastRowLastColumn="0"/>
            <w:tcW w:w="1602" w:type="dxa"/>
          </w:tcPr>
          <w:p w14:paraId="6FBA38B5" w14:textId="77777777" w:rsidR="00134E41" w:rsidRPr="00915B33" w:rsidRDefault="00AC6FD3" w:rsidP="00A4712C">
            <w:pPr>
              <w:jc w:val="center"/>
              <w:rPr>
                <w:rFonts w:cs="Calibri"/>
                <w:b/>
                <w:bCs/>
                <w:color w:val="000000" w:themeColor="text1"/>
                <w:sz w:val="18"/>
                <w:szCs w:val="18"/>
              </w:rPr>
            </w:pPr>
            <w:r w:rsidRPr="00915B33">
              <w:rPr>
                <w:rFonts w:cs="Calibri"/>
                <w:b/>
                <w:bCs/>
                <w:color w:val="000000" w:themeColor="text1"/>
                <w:sz w:val="18"/>
                <w:szCs w:val="18"/>
              </w:rPr>
              <w:t>967</w:t>
            </w:r>
          </w:p>
        </w:tc>
      </w:tr>
      <w:tr w:rsidR="00915B33" w:rsidRPr="00915B33" w14:paraId="72E07EA4" w14:textId="77777777" w:rsidTr="001340E3">
        <w:trPr>
          <w:trHeight w:val="300"/>
          <w:jc w:val="center"/>
        </w:trPr>
        <w:tc>
          <w:tcPr>
            <w:cnfStyle w:val="000010000000" w:firstRow="0" w:lastRow="0" w:firstColumn="0" w:lastColumn="0" w:oddVBand="1" w:evenVBand="0" w:oddHBand="0" w:evenHBand="0" w:firstRowFirstColumn="0" w:firstRowLastColumn="0" w:lastRowFirstColumn="0" w:lastRowLastColumn="0"/>
            <w:tcW w:w="1199" w:type="dxa"/>
          </w:tcPr>
          <w:p w14:paraId="68B93183" w14:textId="77777777" w:rsidR="00134E41" w:rsidRPr="00915B33" w:rsidRDefault="00134E41">
            <w:pPr>
              <w:spacing w:line="240" w:lineRule="auto"/>
              <w:rPr>
                <w:rFonts w:ascii="Times New Roman" w:eastAsia="Times New Roman" w:hAnsi="Times New Roman" w:cs="Times New Roman"/>
                <w:b/>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2021</w:t>
            </w:r>
          </w:p>
        </w:tc>
        <w:tc>
          <w:tcPr>
            <w:tcW w:w="940" w:type="dxa"/>
          </w:tcPr>
          <w:p w14:paraId="23AD5AF0" w14:textId="77777777" w:rsidR="00134E41" w:rsidRPr="00915B33" w:rsidRDefault="00134E41" w:rsidP="00A4712C">
            <w:pPr>
              <w:jc w:val="center"/>
              <w:cnfStyle w:val="000000000000" w:firstRow="0" w:lastRow="0" w:firstColumn="0" w:lastColumn="0" w:oddVBand="0" w:evenVBand="0" w:oddHBand="0" w:evenHBand="0" w:firstRowFirstColumn="0" w:firstRowLastColumn="0" w:lastRowFirstColumn="0" w:lastRowLastColumn="0"/>
              <w:rPr>
                <w:rFonts w:cs="Calibri"/>
                <w:b/>
                <w:bCs/>
                <w:color w:val="000000" w:themeColor="text1"/>
                <w:sz w:val="18"/>
                <w:szCs w:val="18"/>
              </w:rPr>
            </w:pPr>
            <w:r w:rsidRPr="00915B33">
              <w:rPr>
                <w:rFonts w:cs="Calibri"/>
                <w:b/>
                <w:bCs/>
                <w:color w:val="000000" w:themeColor="text1"/>
                <w:sz w:val="18"/>
                <w:szCs w:val="18"/>
              </w:rPr>
              <w:t>172</w:t>
            </w:r>
          </w:p>
        </w:tc>
        <w:tc>
          <w:tcPr>
            <w:cnfStyle w:val="000010000000" w:firstRow="0" w:lastRow="0" w:firstColumn="0" w:lastColumn="0" w:oddVBand="1" w:evenVBand="0" w:oddHBand="0" w:evenHBand="0" w:firstRowFirstColumn="0" w:firstRowLastColumn="0" w:lastRowFirstColumn="0" w:lastRowLastColumn="0"/>
            <w:tcW w:w="1479" w:type="dxa"/>
          </w:tcPr>
          <w:p w14:paraId="4C8675B0" w14:textId="77777777" w:rsidR="00134E41" w:rsidRPr="00915B33" w:rsidRDefault="00134E41" w:rsidP="00A4712C">
            <w:pPr>
              <w:jc w:val="center"/>
              <w:rPr>
                <w:rFonts w:cs="Calibri"/>
                <w:b/>
                <w:bCs/>
                <w:color w:val="000000" w:themeColor="text1"/>
                <w:sz w:val="18"/>
                <w:szCs w:val="18"/>
              </w:rPr>
            </w:pPr>
            <w:r w:rsidRPr="00915B33">
              <w:rPr>
                <w:rFonts w:cs="Calibri"/>
                <w:b/>
                <w:bCs/>
                <w:color w:val="000000" w:themeColor="text1"/>
                <w:sz w:val="18"/>
                <w:szCs w:val="18"/>
              </w:rPr>
              <w:t>12</w:t>
            </w:r>
          </w:p>
        </w:tc>
        <w:tc>
          <w:tcPr>
            <w:tcW w:w="1980" w:type="dxa"/>
          </w:tcPr>
          <w:p w14:paraId="5D5DCC3C" w14:textId="77777777" w:rsidR="00134E41" w:rsidRPr="00915B33" w:rsidRDefault="00134E41" w:rsidP="00A4712C">
            <w:pPr>
              <w:jc w:val="center"/>
              <w:cnfStyle w:val="000000000000" w:firstRow="0" w:lastRow="0" w:firstColumn="0" w:lastColumn="0" w:oddVBand="0" w:evenVBand="0" w:oddHBand="0" w:evenHBand="0" w:firstRowFirstColumn="0" w:firstRowLastColumn="0" w:lastRowFirstColumn="0" w:lastRowLastColumn="0"/>
              <w:rPr>
                <w:rFonts w:cs="Calibri"/>
                <w:b/>
                <w:bCs/>
                <w:color w:val="000000" w:themeColor="text1"/>
                <w:sz w:val="18"/>
                <w:szCs w:val="18"/>
              </w:rPr>
            </w:pPr>
            <w:r w:rsidRPr="00915B33">
              <w:rPr>
                <w:rFonts w:cs="Calibri"/>
                <w:b/>
                <w:bCs/>
                <w:color w:val="000000" w:themeColor="text1"/>
                <w:sz w:val="18"/>
                <w:szCs w:val="18"/>
              </w:rPr>
              <w:t>405</w:t>
            </w:r>
          </w:p>
        </w:tc>
        <w:tc>
          <w:tcPr>
            <w:cnfStyle w:val="000010000000" w:firstRow="0" w:lastRow="0" w:firstColumn="0" w:lastColumn="0" w:oddVBand="1" w:evenVBand="0" w:oddHBand="0" w:evenHBand="0" w:firstRowFirstColumn="0" w:firstRowLastColumn="0" w:lastRowFirstColumn="0" w:lastRowLastColumn="0"/>
            <w:tcW w:w="1602" w:type="dxa"/>
          </w:tcPr>
          <w:p w14:paraId="7270F7D4" w14:textId="77777777" w:rsidR="00134E41" w:rsidRPr="00915B33" w:rsidRDefault="00AC6FD3" w:rsidP="00A4712C">
            <w:pPr>
              <w:jc w:val="center"/>
              <w:rPr>
                <w:rFonts w:cs="Calibri"/>
                <w:b/>
                <w:bCs/>
                <w:color w:val="000000" w:themeColor="text1"/>
                <w:sz w:val="18"/>
                <w:szCs w:val="18"/>
              </w:rPr>
            </w:pPr>
            <w:r w:rsidRPr="00915B33">
              <w:rPr>
                <w:rFonts w:cs="Calibri"/>
                <w:b/>
                <w:bCs/>
                <w:color w:val="000000" w:themeColor="text1"/>
                <w:sz w:val="18"/>
                <w:szCs w:val="18"/>
              </w:rPr>
              <w:t>956</w:t>
            </w:r>
          </w:p>
        </w:tc>
      </w:tr>
      <w:tr w:rsidR="00915B33" w:rsidRPr="00915B33" w14:paraId="644B7B6F" w14:textId="77777777" w:rsidTr="001340E3">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1199" w:type="dxa"/>
          </w:tcPr>
          <w:p w14:paraId="296758E2" w14:textId="77777777" w:rsidR="00134E41" w:rsidRPr="00915B33" w:rsidRDefault="00134E41">
            <w:pPr>
              <w:spacing w:line="240" w:lineRule="auto"/>
              <w:rPr>
                <w:rFonts w:ascii="Times New Roman" w:eastAsia="Times New Roman" w:hAnsi="Times New Roman" w:cs="Times New Roman"/>
                <w:b/>
                <w:color w:val="000000" w:themeColor="text1"/>
                <w:sz w:val="18"/>
                <w:szCs w:val="18"/>
                <w:lang w:eastAsia="fr-FR"/>
              </w:rPr>
            </w:pPr>
            <w:r w:rsidRPr="00915B33">
              <w:rPr>
                <w:rFonts w:ascii="Times New Roman" w:eastAsia="Times New Roman" w:hAnsi="Times New Roman" w:cs="Times New Roman"/>
                <w:b/>
                <w:color w:val="000000" w:themeColor="text1"/>
                <w:sz w:val="18"/>
                <w:szCs w:val="18"/>
                <w:lang w:eastAsia="fr-FR"/>
              </w:rPr>
              <w:t>2022</w:t>
            </w:r>
          </w:p>
        </w:tc>
        <w:tc>
          <w:tcPr>
            <w:tcW w:w="940" w:type="dxa"/>
          </w:tcPr>
          <w:p w14:paraId="7CC9A0F4" w14:textId="77777777" w:rsidR="00134E41" w:rsidRPr="00915B33" w:rsidRDefault="00134E41" w:rsidP="00A4712C">
            <w:pPr>
              <w:jc w:val="center"/>
              <w:cnfStyle w:val="000000100000" w:firstRow="0" w:lastRow="0" w:firstColumn="0" w:lastColumn="0" w:oddVBand="0" w:evenVBand="0" w:oddHBand="1" w:evenHBand="0" w:firstRowFirstColumn="0" w:firstRowLastColumn="0" w:lastRowFirstColumn="0" w:lastRowLastColumn="0"/>
              <w:rPr>
                <w:rFonts w:cs="Calibri"/>
                <w:b/>
                <w:bCs/>
                <w:color w:val="000000" w:themeColor="text1"/>
                <w:sz w:val="18"/>
                <w:szCs w:val="18"/>
              </w:rPr>
            </w:pPr>
            <w:r w:rsidRPr="00915B33">
              <w:rPr>
                <w:rFonts w:cs="Calibri"/>
                <w:b/>
                <w:bCs/>
                <w:color w:val="000000" w:themeColor="text1"/>
                <w:sz w:val="18"/>
                <w:szCs w:val="18"/>
              </w:rPr>
              <w:t>115</w:t>
            </w:r>
          </w:p>
        </w:tc>
        <w:tc>
          <w:tcPr>
            <w:cnfStyle w:val="000010000000" w:firstRow="0" w:lastRow="0" w:firstColumn="0" w:lastColumn="0" w:oddVBand="1" w:evenVBand="0" w:oddHBand="0" w:evenHBand="0" w:firstRowFirstColumn="0" w:firstRowLastColumn="0" w:lastRowFirstColumn="0" w:lastRowLastColumn="0"/>
            <w:tcW w:w="1479" w:type="dxa"/>
          </w:tcPr>
          <w:p w14:paraId="5E309C16" w14:textId="77777777" w:rsidR="00134E41" w:rsidRPr="00915B33" w:rsidRDefault="00134E41" w:rsidP="00A4712C">
            <w:pPr>
              <w:jc w:val="center"/>
              <w:rPr>
                <w:rFonts w:cs="Calibri"/>
                <w:b/>
                <w:bCs/>
                <w:color w:val="000000" w:themeColor="text1"/>
                <w:sz w:val="18"/>
                <w:szCs w:val="18"/>
              </w:rPr>
            </w:pPr>
            <w:r w:rsidRPr="00915B33">
              <w:rPr>
                <w:rFonts w:cs="Calibri"/>
                <w:b/>
                <w:bCs/>
                <w:color w:val="000000" w:themeColor="text1"/>
                <w:sz w:val="18"/>
                <w:szCs w:val="18"/>
              </w:rPr>
              <w:t>25</w:t>
            </w:r>
          </w:p>
        </w:tc>
        <w:tc>
          <w:tcPr>
            <w:tcW w:w="1980" w:type="dxa"/>
          </w:tcPr>
          <w:p w14:paraId="09E0E41E" w14:textId="77777777" w:rsidR="00134E41" w:rsidRPr="00915B33" w:rsidRDefault="00134E41" w:rsidP="00A4712C">
            <w:pPr>
              <w:jc w:val="center"/>
              <w:cnfStyle w:val="000000100000" w:firstRow="0" w:lastRow="0" w:firstColumn="0" w:lastColumn="0" w:oddVBand="0" w:evenVBand="0" w:oddHBand="1" w:evenHBand="0" w:firstRowFirstColumn="0" w:firstRowLastColumn="0" w:lastRowFirstColumn="0" w:lastRowLastColumn="0"/>
              <w:rPr>
                <w:rFonts w:cs="Calibri"/>
                <w:b/>
                <w:bCs/>
                <w:color w:val="000000" w:themeColor="text1"/>
                <w:sz w:val="18"/>
                <w:szCs w:val="18"/>
              </w:rPr>
            </w:pPr>
            <w:r w:rsidRPr="00915B33">
              <w:rPr>
                <w:rFonts w:cs="Calibri"/>
                <w:b/>
                <w:bCs/>
                <w:color w:val="000000" w:themeColor="text1"/>
                <w:sz w:val="18"/>
                <w:szCs w:val="18"/>
              </w:rPr>
              <w:t>404</w:t>
            </w:r>
          </w:p>
        </w:tc>
        <w:tc>
          <w:tcPr>
            <w:cnfStyle w:val="000010000000" w:firstRow="0" w:lastRow="0" w:firstColumn="0" w:lastColumn="0" w:oddVBand="1" w:evenVBand="0" w:oddHBand="0" w:evenHBand="0" w:firstRowFirstColumn="0" w:firstRowLastColumn="0" w:lastRowFirstColumn="0" w:lastRowLastColumn="0"/>
            <w:tcW w:w="1602" w:type="dxa"/>
          </w:tcPr>
          <w:p w14:paraId="139C0A80" w14:textId="77777777" w:rsidR="00134E41" w:rsidRPr="00915B33" w:rsidRDefault="00AC6FD3" w:rsidP="00A4712C">
            <w:pPr>
              <w:jc w:val="center"/>
              <w:rPr>
                <w:rFonts w:cs="Calibri"/>
                <w:b/>
                <w:bCs/>
                <w:color w:val="000000" w:themeColor="text1"/>
                <w:sz w:val="18"/>
                <w:szCs w:val="18"/>
              </w:rPr>
            </w:pPr>
            <w:r w:rsidRPr="00915B33">
              <w:rPr>
                <w:rFonts w:cs="Calibri"/>
                <w:b/>
                <w:bCs/>
                <w:color w:val="000000" w:themeColor="text1"/>
                <w:sz w:val="18"/>
                <w:szCs w:val="18"/>
              </w:rPr>
              <w:t>1233</w:t>
            </w:r>
          </w:p>
        </w:tc>
      </w:tr>
    </w:tbl>
    <w:p w14:paraId="7BE125AD" w14:textId="02855929" w:rsidR="00F27423" w:rsidRPr="00915B33" w:rsidRDefault="00F27423">
      <w:pPr>
        <w:ind w:left="1068" w:firstLine="348"/>
        <w:rPr>
          <w:rFonts w:ascii="Times New Roman" w:hAnsi="Times New Roman" w:cs="Times New Roman"/>
          <w:color w:val="000000" w:themeColor="text1"/>
        </w:rPr>
      </w:pPr>
      <w:r w:rsidRPr="00915B33">
        <w:rPr>
          <w:rFonts w:ascii="Times New Roman" w:hAnsi="Times New Roman" w:cs="Times New Roman"/>
          <w:color w:val="000000" w:themeColor="text1"/>
        </w:rPr>
        <w:t>(Source : Laboratoire, SAFA)</w:t>
      </w:r>
    </w:p>
    <w:p w14:paraId="1365506D" w14:textId="77777777" w:rsidR="009D1B65" w:rsidRPr="00915B33" w:rsidRDefault="009D1B65" w:rsidP="009D1B65">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L’industrie métallique comprend plusieurs sous-catégories (tableau 10). Celle de production de ferroalliage est recensée en Mauritanie. Elle est détenue par la SAFA, une filiale du groupe SNIM, créée à Nouadhibou en 1984.</w:t>
      </w:r>
    </w:p>
    <w:p w14:paraId="076F5FB4" w14:textId="5B2352C1" w:rsidR="00F27423" w:rsidRPr="00F06B8A" w:rsidRDefault="00F27423" w:rsidP="00BC2557">
      <w:pPr>
        <w:pStyle w:val="Sous-titre"/>
        <w:numPr>
          <w:ilvl w:val="0"/>
          <w:numId w:val="27"/>
        </w:numPr>
        <w:outlineLvl w:val="1"/>
      </w:pPr>
      <w:bookmarkStart w:id="34" w:name="_Toc489388301"/>
      <w:bookmarkStart w:id="35" w:name="_Toc157935477"/>
      <w:r w:rsidRPr="00F06B8A">
        <w:t>2D Produits non énergétiques provenant de combustibles et de l’utilisation de solvants</w:t>
      </w:r>
      <w:bookmarkEnd w:id="34"/>
      <w:bookmarkEnd w:id="35"/>
    </w:p>
    <w:p w14:paraId="56B727A0" w14:textId="77777777" w:rsidR="00020862" w:rsidRPr="00915B33" w:rsidRDefault="00020862" w:rsidP="00B02B7B">
      <w:pPr>
        <w:spacing w:line="360" w:lineRule="auto"/>
        <w:jc w:val="both"/>
        <w:rPr>
          <w:rFonts w:ascii="Times New Roman" w:hAnsi="Times New Roman" w:cs="Times New Roman"/>
          <w:b/>
          <w:color w:val="000000" w:themeColor="text1"/>
        </w:rPr>
      </w:pPr>
      <w:r w:rsidRPr="00915B33">
        <w:rPr>
          <w:rFonts w:ascii="Times New Roman" w:hAnsi="Times New Roman" w:cs="Times New Roman"/>
          <w:color w:val="000000" w:themeColor="text1"/>
        </w:rPr>
        <w:t>La Mauritanie dispose d’un linéaire routier estimé à 5100 km (+/-100 à 200km), soit environ 6000 km (ENER)</w:t>
      </w:r>
      <w:r w:rsidRPr="00915B33">
        <w:rPr>
          <w:rStyle w:val="Appelnotedebasdep"/>
          <w:rFonts w:ascii="Times New Roman" w:hAnsi="Times New Roman" w:cs="Times New Roman"/>
          <w:color w:val="000000" w:themeColor="text1"/>
        </w:rPr>
        <w:footnoteReference w:id="14"/>
      </w:r>
      <w:r w:rsidRPr="00915B33">
        <w:rPr>
          <w:rFonts w:ascii="Times New Roman" w:hAnsi="Times New Roman" w:cs="Times New Roman"/>
          <w:color w:val="000000" w:themeColor="text1"/>
        </w:rPr>
        <w:t>.</w:t>
      </w:r>
      <w:r w:rsidR="00683FEA" w:rsidRPr="00915B33">
        <w:rPr>
          <w:rFonts w:ascii="Times New Roman" w:hAnsi="Times New Roman" w:cs="Times New Roman"/>
          <w:color w:val="000000" w:themeColor="text1"/>
        </w:rPr>
        <w:t xml:space="preserve"> Selon les données du plan d’action du ministère de tutelle, 1478 km de routes dans un horizon de trois ans.</w:t>
      </w:r>
      <w:r w:rsidRPr="00915B33">
        <w:rPr>
          <w:rFonts w:ascii="Times New Roman" w:hAnsi="Times New Roman" w:cs="Times New Roman"/>
          <w:color w:val="000000" w:themeColor="text1"/>
        </w:rPr>
        <w:t xml:space="preserve"> Les entreprises chargées de l’exécution des travaux de construction et d’entretien des infrastructures routières utilisent deux types de bitume : le bitume 50/70 et le bitume 600/800. </w:t>
      </w:r>
    </w:p>
    <w:p w14:paraId="54608834" w14:textId="2422F5A2" w:rsidR="00F27423" w:rsidRPr="00915B33" w:rsidRDefault="00F27423">
      <w:pPr>
        <w:pStyle w:val="Paragraphedeliste1"/>
        <w:jc w:val="center"/>
        <w:rPr>
          <w:rFonts w:ascii="Times New Roman" w:hAnsi="Times New Roman" w:cs="Times New Roman"/>
          <w:b/>
          <w:color w:val="000000" w:themeColor="text1"/>
        </w:rPr>
      </w:pPr>
      <w:r w:rsidRPr="00915B33">
        <w:rPr>
          <w:rFonts w:ascii="Times New Roman" w:hAnsi="Times New Roman" w:cs="Times New Roman"/>
          <w:b/>
          <w:color w:val="000000" w:themeColor="text1"/>
        </w:rPr>
        <w:t>Tableau </w:t>
      </w:r>
      <w:r w:rsidR="009D1B65" w:rsidRPr="00915B33">
        <w:rPr>
          <w:rFonts w:ascii="Times New Roman" w:hAnsi="Times New Roman" w:cs="Times New Roman"/>
          <w:b/>
          <w:color w:val="000000" w:themeColor="text1"/>
        </w:rPr>
        <w:t>9</w:t>
      </w:r>
      <w:r w:rsidRPr="00915B33">
        <w:rPr>
          <w:rFonts w:ascii="Times New Roman" w:hAnsi="Times New Roman" w:cs="Times New Roman"/>
          <w:b/>
          <w:color w:val="000000" w:themeColor="text1"/>
        </w:rPr>
        <w:t xml:space="preserve"> : </w:t>
      </w:r>
      <w:r w:rsidR="001D1F5B" w:rsidRPr="00915B33">
        <w:rPr>
          <w:rFonts w:ascii="Times New Roman" w:hAnsi="Times New Roman" w:cs="Times New Roman"/>
          <w:color w:val="000000" w:themeColor="text1"/>
        </w:rPr>
        <w:t>P</w:t>
      </w:r>
      <w:r w:rsidRPr="00915B33">
        <w:rPr>
          <w:rFonts w:ascii="Times New Roman" w:hAnsi="Times New Roman" w:cs="Times New Roman"/>
          <w:color w:val="000000" w:themeColor="text1"/>
        </w:rPr>
        <w:t>résence en Mauritanie des sous-catégories 2D</w:t>
      </w:r>
    </w:p>
    <w:tbl>
      <w:tblPr>
        <w:tblStyle w:val="TableauGrille2-Accentuation61"/>
        <w:tblW w:w="9228" w:type="dxa"/>
        <w:tblLayout w:type="fixed"/>
        <w:tblLook w:val="0000" w:firstRow="0" w:lastRow="0" w:firstColumn="0" w:lastColumn="0" w:noHBand="0" w:noVBand="0"/>
      </w:tblPr>
      <w:tblGrid>
        <w:gridCol w:w="4692"/>
        <w:gridCol w:w="4536"/>
      </w:tblGrid>
      <w:tr w:rsidR="00915B33" w:rsidRPr="00915B33" w14:paraId="01C82A5B" w14:textId="77777777" w:rsidTr="007D3FCA">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228" w:type="dxa"/>
            <w:gridSpan w:val="2"/>
          </w:tcPr>
          <w:p w14:paraId="165624A2"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 xml:space="preserve">Catégorie : 2D </w:t>
            </w:r>
            <w:r w:rsidRPr="00915B33">
              <w:rPr>
                <w:rFonts w:ascii="Times New Roman" w:hAnsi="Times New Roman" w:cs="Times New Roman"/>
                <w:b/>
                <w:color w:val="000000" w:themeColor="text1"/>
              </w:rPr>
              <w:t>Produits non énergétiques provenant de combustibles et de l’utilisation de solvants</w:t>
            </w:r>
          </w:p>
        </w:tc>
      </w:tr>
      <w:tr w:rsidR="00915B33" w:rsidRPr="00915B33" w14:paraId="3B006614" w14:textId="77777777" w:rsidTr="007D3FCA">
        <w:trPr>
          <w:trHeight w:val="300"/>
        </w:trPr>
        <w:tc>
          <w:tcPr>
            <w:cnfStyle w:val="000010000000" w:firstRow="0" w:lastRow="0" w:firstColumn="0" w:lastColumn="0" w:oddVBand="1" w:evenVBand="0" w:oddHBand="0" w:evenHBand="0" w:firstRowFirstColumn="0" w:firstRowLastColumn="0" w:lastRowFirstColumn="0" w:lastRowLastColumn="0"/>
            <w:tcW w:w="4692" w:type="dxa"/>
          </w:tcPr>
          <w:p w14:paraId="770D8DD1"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p>
        </w:tc>
        <w:tc>
          <w:tcPr>
            <w:tcW w:w="4536" w:type="dxa"/>
          </w:tcPr>
          <w:p w14:paraId="5E0683F0" w14:textId="77777777" w:rsidR="00F27423" w:rsidRPr="00915B33" w:rsidRDefault="00F2742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lang w:eastAsia="fr-FR"/>
              </w:rPr>
            </w:pPr>
          </w:p>
        </w:tc>
      </w:tr>
      <w:tr w:rsidR="00915B33" w:rsidRPr="00915B33" w14:paraId="0A799678" w14:textId="77777777" w:rsidTr="007D3FCA">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692" w:type="dxa"/>
          </w:tcPr>
          <w:p w14:paraId="1958E994" w14:textId="77777777" w:rsidR="00F27423" w:rsidRPr="00915B33" w:rsidRDefault="00F27423">
            <w:pPr>
              <w:spacing w:line="240" w:lineRule="auto"/>
              <w:jc w:val="center"/>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Sous-catégories</w:t>
            </w:r>
          </w:p>
        </w:tc>
        <w:tc>
          <w:tcPr>
            <w:tcW w:w="4536" w:type="dxa"/>
          </w:tcPr>
          <w:p w14:paraId="0305A437"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Présence en Mauritanie</w:t>
            </w:r>
          </w:p>
        </w:tc>
      </w:tr>
      <w:tr w:rsidR="00915B33" w:rsidRPr="00915B33" w14:paraId="665C7945" w14:textId="77777777" w:rsidTr="007D3FCA">
        <w:trPr>
          <w:trHeight w:val="300"/>
        </w:trPr>
        <w:tc>
          <w:tcPr>
            <w:cnfStyle w:val="000010000000" w:firstRow="0" w:lastRow="0" w:firstColumn="0" w:lastColumn="0" w:oddVBand="1" w:evenVBand="0" w:oddHBand="0" w:evenHBand="0" w:firstRowFirstColumn="0" w:firstRowLastColumn="0" w:lastRowFirstColumn="0" w:lastRowLastColumn="0"/>
            <w:tcW w:w="4692" w:type="dxa"/>
          </w:tcPr>
          <w:p w14:paraId="758E2DD1" w14:textId="77777777" w:rsidR="00F27423" w:rsidRPr="00915B33" w:rsidRDefault="00F27423">
            <w:pPr>
              <w:spacing w:line="240" w:lineRule="auto"/>
              <w:ind w:left="708"/>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2D1 Lubrifiant</w:t>
            </w:r>
          </w:p>
        </w:tc>
        <w:tc>
          <w:tcPr>
            <w:tcW w:w="4536" w:type="dxa"/>
          </w:tcPr>
          <w:p w14:paraId="6A80B2E9"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Oui</w:t>
            </w:r>
          </w:p>
        </w:tc>
      </w:tr>
      <w:tr w:rsidR="00915B33" w:rsidRPr="00915B33" w14:paraId="476D6138" w14:textId="77777777" w:rsidTr="007D3FCA">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692" w:type="dxa"/>
          </w:tcPr>
          <w:p w14:paraId="04A54A1A" w14:textId="77777777" w:rsidR="00F27423" w:rsidRPr="00915B33" w:rsidRDefault="00F27423">
            <w:pPr>
              <w:spacing w:line="240" w:lineRule="auto"/>
              <w:ind w:left="708"/>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2D2 Cire de paraffine</w:t>
            </w:r>
          </w:p>
        </w:tc>
        <w:tc>
          <w:tcPr>
            <w:tcW w:w="4536" w:type="dxa"/>
          </w:tcPr>
          <w:p w14:paraId="5418687D"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Non</w:t>
            </w:r>
          </w:p>
        </w:tc>
      </w:tr>
      <w:tr w:rsidR="00915B33" w:rsidRPr="00915B33" w14:paraId="36B6A899" w14:textId="77777777" w:rsidTr="007D3FCA">
        <w:trPr>
          <w:trHeight w:val="300"/>
        </w:trPr>
        <w:tc>
          <w:tcPr>
            <w:cnfStyle w:val="000010000000" w:firstRow="0" w:lastRow="0" w:firstColumn="0" w:lastColumn="0" w:oddVBand="1" w:evenVBand="0" w:oddHBand="0" w:evenHBand="0" w:firstRowFirstColumn="0" w:firstRowLastColumn="0" w:lastRowFirstColumn="0" w:lastRowLastColumn="0"/>
            <w:tcW w:w="4692" w:type="dxa"/>
          </w:tcPr>
          <w:p w14:paraId="4A378B11" w14:textId="77777777" w:rsidR="00F27423" w:rsidRPr="00915B33" w:rsidRDefault="00F27423">
            <w:pPr>
              <w:spacing w:line="240" w:lineRule="auto"/>
              <w:ind w:left="708"/>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2D3 Solvant</w:t>
            </w:r>
          </w:p>
        </w:tc>
        <w:tc>
          <w:tcPr>
            <w:tcW w:w="4536" w:type="dxa"/>
          </w:tcPr>
          <w:p w14:paraId="4FDEF054"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Négligeable</w:t>
            </w:r>
          </w:p>
        </w:tc>
      </w:tr>
      <w:tr w:rsidR="00915B33" w:rsidRPr="00915B33" w14:paraId="6ED0EBAE" w14:textId="77777777" w:rsidTr="007D3FCA">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692" w:type="dxa"/>
          </w:tcPr>
          <w:p w14:paraId="186EC682" w14:textId="77777777" w:rsidR="00F27423" w:rsidRPr="00915B33" w:rsidRDefault="00F27423">
            <w:pPr>
              <w:spacing w:line="240" w:lineRule="auto"/>
              <w:ind w:left="708"/>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2D4 Autres (Asphalte)</w:t>
            </w:r>
          </w:p>
        </w:tc>
        <w:tc>
          <w:tcPr>
            <w:tcW w:w="4536" w:type="dxa"/>
          </w:tcPr>
          <w:p w14:paraId="6CC2234B"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Oui</w:t>
            </w:r>
          </w:p>
        </w:tc>
      </w:tr>
    </w:tbl>
    <w:p w14:paraId="5FEE60BB" w14:textId="77777777" w:rsidR="00F27423" w:rsidRPr="00915B33" w:rsidRDefault="00F27423">
      <w:pPr>
        <w:jc w:val="both"/>
        <w:rPr>
          <w:rFonts w:ascii="Times New Roman" w:hAnsi="Times New Roman" w:cs="Times New Roman"/>
          <w:b/>
          <w:color w:val="000000" w:themeColor="text1"/>
        </w:rPr>
      </w:pPr>
    </w:p>
    <w:p w14:paraId="6BC68FDF" w14:textId="056B33EF"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La base de données de la douane (SYDONIA) fournit les statistiques d’importations de deux types de lubrifiants (huile et graisse) pour les usages dont les chiffres sont restitués dans les tableaux 1</w:t>
      </w:r>
      <w:r w:rsidR="00B41364" w:rsidRPr="00915B33">
        <w:rPr>
          <w:rFonts w:ascii="Times New Roman" w:hAnsi="Times New Roman" w:cs="Times New Roman"/>
          <w:color w:val="000000" w:themeColor="text1"/>
        </w:rPr>
        <w:t>0</w:t>
      </w:r>
      <w:r w:rsidRPr="00915B33">
        <w:rPr>
          <w:rFonts w:ascii="Times New Roman" w:hAnsi="Times New Roman" w:cs="Times New Roman"/>
          <w:color w:val="000000" w:themeColor="text1"/>
        </w:rPr>
        <w:t>.</w:t>
      </w:r>
      <w:r w:rsidR="005A30E8" w:rsidRPr="00915B33">
        <w:rPr>
          <w:rFonts w:ascii="Times New Roman" w:hAnsi="Times New Roman" w:cs="Times New Roman"/>
          <w:color w:val="000000" w:themeColor="text1"/>
        </w:rPr>
        <w:t xml:space="preserve"> Star Oil est l’un des principaux fournisseurs de ces produits en Mauritanie</w:t>
      </w:r>
      <w:r w:rsidR="005A30E8" w:rsidRPr="00915B33">
        <w:rPr>
          <w:rStyle w:val="Appelnotedebasdep"/>
          <w:rFonts w:ascii="Times New Roman" w:hAnsi="Times New Roman" w:cs="Times New Roman"/>
          <w:color w:val="000000" w:themeColor="text1"/>
        </w:rPr>
        <w:footnoteReference w:id="15"/>
      </w:r>
      <w:r w:rsidR="005A30E8" w:rsidRPr="00915B33">
        <w:rPr>
          <w:rFonts w:ascii="Times New Roman" w:hAnsi="Times New Roman" w:cs="Times New Roman"/>
          <w:color w:val="000000" w:themeColor="text1"/>
        </w:rPr>
        <w:t xml:space="preserve">. </w:t>
      </w:r>
      <w:r w:rsidR="00E1158A" w:rsidRPr="00915B33">
        <w:rPr>
          <w:rFonts w:ascii="Times New Roman" w:hAnsi="Times New Roman" w:cs="Times New Roman"/>
          <w:color w:val="000000" w:themeColor="text1"/>
        </w:rPr>
        <w:t xml:space="preserve">L’usure rapide des équipements industriels favorise une </w:t>
      </w:r>
      <w:r w:rsidR="00445CE0" w:rsidRPr="00915B33">
        <w:rPr>
          <w:rFonts w:ascii="Times New Roman" w:hAnsi="Times New Roman" w:cs="Times New Roman"/>
          <w:color w:val="000000" w:themeColor="text1"/>
        </w:rPr>
        <w:t>utilisation excessive</w:t>
      </w:r>
      <w:r w:rsidR="00E1158A" w:rsidRPr="00915B33">
        <w:rPr>
          <w:rFonts w:ascii="Times New Roman" w:hAnsi="Times New Roman" w:cs="Times New Roman"/>
          <w:color w:val="000000" w:themeColor="text1"/>
        </w:rPr>
        <w:t xml:space="preserve"> de lubrifiants et autres produits de graissage</w:t>
      </w:r>
      <w:r w:rsidR="00E1158A" w:rsidRPr="00915B33">
        <w:rPr>
          <w:rStyle w:val="Appelnotedebasdep"/>
          <w:rFonts w:ascii="Times New Roman" w:hAnsi="Times New Roman" w:cs="Times New Roman"/>
          <w:color w:val="000000" w:themeColor="text1"/>
        </w:rPr>
        <w:footnoteReference w:id="16"/>
      </w:r>
      <w:r w:rsidR="00E1158A" w:rsidRPr="00915B33">
        <w:rPr>
          <w:rFonts w:ascii="Times New Roman" w:hAnsi="Times New Roman" w:cs="Times New Roman"/>
          <w:color w:val="000000" w:themeColor="text1"/>
        </w:rPr>
        <w:t xml:space="preserve">. </w:t>
      </w:r>
    </w:p>
    <w:p w14:paraId="667D53B4" w14:textId="71012037" w:rsidR="00B41364" w:rsidRPr="00915B33" w:rsidRDefault="00B41364" w:rsidP="00B02B7B">
      <w:pPr>
        <w:spacing w:line="360" w:lineRule="auto"/>
        <w:jc w:val="both"/>
        <w:rPr>
          <w:rFonts w:ascii="Times New Roman" w:hAnsi="Times New Roman" w:cs="Times New Roman"/>
          <w:color w:val="000000" w:themeColor="text1"/>
        </w:rPr>
      </w:pPr>
    </w:p>
    <w:p w14:paraId="533DD989" w14:textId="06CF4AD8" w:rsidR="00B41364" w:rsidRPr="00915B33" w:rsidRDefault="00B41364" w:rsidP="00B02B7B">
      <w:pPr>
        <w:spacing w:line="360" w:lineRule="auto"/>
        <w:jc w:val="both"/>
        <w:rPr>
          <w:rFonts w:ascii="Times New Roman" w:hAnsi="Times New Roman" w:cs="Times New Roman"/>
          <w:color w:val="000000" w:themeColor="text1"/>
        </w:rPr>
      </w:pPr>
    </w:p>
    <w:p w14:paraId="5976ED6D" w14:textId="77777777" w:rsidR="00B41364" w:rsidRPr="00915B33" w:rsidRDefault="00B41364" w:rsidP="00B02B7B">
      <w:pPr>
        <w:spacing w:line="360" w:lineRule="auto"/>
        <w:jc w:val="both"/>
        <w:rPr>
          <w:rFonts w:ascii="Times New Roman" w:hAnsi="Times New Roman" w:cs="Times New Roman"/>
          <w:color w:val="000000" w:themeColor="text1"/>
        </w:rPr>
      </w:pPr>
    </w:p>
    <w:p w14:paraId="46CBBB93" w14:textId="43D0C1ED" w:rsidR="00F27423" w:rsidRPr="00915B33" w:rsidRDefault="00F27423" w:rsidP="00A32158">
      <w:pPr>
        <w:jc w:val="center"/>
        <w:rPr>
          <w:rFonts w:ascii="Times New Roman" w:eastAsia="Times New Roman" w:hAnsi="Times New Roman" w:cs="Times New Roman"/>
          <w:b/>
          <w:color w:val="000000" w:themeColor="text1"/>
          <w:lang w:eastAsia="fr-FR"/>
        </w:rPr>
      </w:pPr>
      <w:r w:rsidRPr="00915B33">
        <w:rPr>
          <w:rFonts w:ascii="Times New Roman" w:hAnsi="Times New Roman" w:cs="Times New Roman"/>
          <w:b/>
          <w:color w:val="000000" w:themeColor="text1"/>
        </w:rPr>
        <w:t>Tableau 1</w:t>
      </w:r>
      <w:r w:rsidR="00B41364" w:rsidRPr="00915B33">
        <w:rPr>
          <w:rFonts w:ascii="Times New Roman" w:hAnsi="Times New Roman" w:cs="Times New Roman"/>
          <w:b/>
          <w:color w:val="000000" w:themeColor="text1"/>
        </w:rPr>
        <w:t>0</w:t>
      </w:r>
      <w:r w:rsidRPr="00915B33">
        <w:rPr>
          <w:rFonts w:ascii="Times New Roman" w:hAnsi="Times New Roman" w:cs="Times New Roman"/>
          <w:b/>
          <w:color w:val="000000" w:themeColor="text1"/>
        </w:rPr>
        <w:t xml:space="preserve"> : </w:t>
      </w:r>
      <w:r w:rsidRPr="00915B33">
        <w:rPr>
          <w:rFonts w:ascii="Times New Roman" w:hAnsi="Times New Roman" w:cs="Times New Roman"/>
          <w:color w:val="000000" w:themeColor="text1"/>
        </w:rPr>
        <w:t>Importations annuelles de graisses, huile et asphalte (Source : SYDONIA)</w:t>
      </w:r>
    </w:p>
    <w:tbl>
      <w:tblPr>
        <w:tblW w:w="10439" w:type="dxa"/>
        <w:jc w:val="center"/>
        <w:tblLayout w:type="fixed"/>
        <w:tblCellMar>
          <w:left w:w="70" w:type="dxa"/>
          <w:right w:w="70" w:type="dxa"/>
        </w:tblCellMar>
        <w:tblLook w:val="0000" w:firstRow="0" w:lastRow="0" w:firstColumn="0" w:lastColumn="0" w:noHBand="0" w:noVBand="0"/>
      </w:tblPr>
      <w:tblGrid>
        <w:gridCol w:w="1484"/>
        <w:gridCol w:w="670"/>
        <w:gridCol w:w="670"/>
        <w:gridCol w:w="670"/>
        <w:gridCol w:w="670"/>
        <w:gridCol w:w="670"/>
        <w:gridCol w:w="670"/>
        <w:gridCol w:w="670"/>
        <w:gridCol w:w="670"/>
        <w:gridCol w:w="670"/>
        <w:gridCol w:w="670"/>
        <w:gridCol w:w="747"/>
        <w:gridCol w:w="747"/>
        <w:gridCol w:w="761"/>
      </w:tblGrid>
      <w:tr w:rsidR="00915B33" w:rsidRPr="00915B33" w14:paraId="78E49C1B" w14:textId="77777777" w:rsidTr="00AB1B0D">
        <w:trPr>
          <w:trHeight w:val="253"/>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E7E034"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Années</w:t>
            </w:r>
          </w:p>
        </w:tc>
        <w:tc>
          <w:tcPr>
            <w:tcW w:w="670" w:type="dxa"/>
            <w:tcBorders>
              <w:top w:val="single" w:sz="4" w:space="0" w:color="000000"/>
              <w:bottom w:val="single" w:sz="4" w:space="0" w:color="000000"/>
              <w:right w:val="single" w:sz="4" w:space="0" w:color="000000"/>
            </w:tcBorders>
            <w:shd w:val="clear" w:color="auto" w:fill="FFFFFF"/>
            <w:vAlign w:val="bottom"/>
          </w:tcPr>
          <w:p w14:paraId="2A90F0A7"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1990</w:t>
            </w:r>
          </w:p>
        </w:tc>
        <w:tc>
          <w:tcPr>
            <w:tcW w:w="670" w:type="dxa"/>
            <w:tcBorders>
              <w:top w:val="single" w:sz="4" w:space="0" w:color="000000"/>
              <w:bottom w:val="single" w:sz="4" w:space="0" w:color="000000"/>
              <w:right w:val="single" w:sz="4" w:space="0" w:color="000000"/>
            </w:tcBorders>
            <w:shd w:val="clear" w:color="auto" w:fill="FFFFFF"/>
            <w:vAlign w:val="bottom"/>
          </w:tcPr>
          <w:p w14:paraId="156CEE45"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1991</w:t>
            </w:r>
          </w:p>
        </w:tc>
        <w:tc>
          <w:tcPr>
            <w:tcW w:w="670" w:type="dxa"/>
            <w:tcBorders>
              <w:top w:val="single" w:sz="4" w:space="0" w:color="000000"/>
              <w:bottom w:val="single" w:sz="4" w:space="0" w:color="000000"/>
              <w:right w:val="single" w:sz="4" w:space="0" w:color="000000"/>
            </w:tcBorders>
            <w:shd w:val="clear" w:color="auto" w:fill="FFFFFF"/>
            <w:vAlign w:val="bottom"/>
          </w:tcPr>
          <w:p w14:paraId="0EFD7801"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1992</w:t>
            </w:r>
          </w:p>
        </w:tc>
        <w:tc>
          <w:tcPr>
            <w:tcW w:w="670" w:type="dxa"/>
            <w:tcBorders>
              <w:top w:val="single" w:sz="4" w:space="0" w:color="000000"/>
              <w:bottom w:val="single" w:sz="4" w:space="0" w:color="000000"/>
              <w:right w:val="single" w:sz="4" w:space="0" w:color="000000"/>
            </w:tcBorders>
            <w:shd w:val="clear" w:color="auto" w:fill="FFFFFF"/>
            <w:vAlign w:val="bottom"/>
          </w:tcPr>
          <w:p w14:paraId="2CF174EA"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1993</w:t>
            </w:r>
          </w:p>
        </w:tc>
        <w:tc>
          <w:tcPr>
            <w:tcW w:w="670" w:type="dxa"/>
            <w:tcBorders>
              <w:top w:val="single" w:sz="4" w:space="0" w:color="000000"/>
              <w:bottom w:val="single" w:sz="4" w:space="0" w:color="000000"/>
              <w:right w:val="single" w:sz="4" w:space="0" w:color="000000"/>
            </w:tcBorders>
            <w:shd w:val="clear" w:color="auto" w:fill="FFFFFF"/>
            <w:vAlign w:val="bottom"/>
          </w:tcPr>
          <w:p w14:paraId="461EF17A"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1994</w:t>
            </w:r>
          </w:p>
        </w:tc>
        <w:tc>
          <w:tcPr>
            <w:tcW w:w="670" w:type="dxa"/>
            <w:tcBorders>
              <w:top w:val="single" w:sz="4" w:space="0" w:color="000000"/>
              <w:bottom w:val="single" w:sz="4" w:space="0" w:color="000000"/>
              <w:right w:val="single" w:sz="4" w:space="0" w:color="000000"/>
            </w:tcBorders>
            <w:shd w:val="clear" w:color="auto" w:fill="FFFFFF"/>
            <w:vAlign w:val="bottom"/>
          </w:tcPr>
          <w:p w14:paraId="2C229F33"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1995</w:t>
            </w:r>
          </w:p>
        </w:tc>
        <w:tc>
          <w:tcPr>
            <w:tcW w:w="670" w:type="dxa"/>
            <w:tcBorders>
              <w:top w:val="single" w:sz="4" w:space="0" w:color="000000"/>
              <w:bottom w:val="single" w:sz="4" w:space="0" w:color="000000"/>
              <w:right w:val="single" w:sz="4" w:space="0" w:color="000000"/>
            </w:tcBorders>
            <w:shd w:val="clear" w:color="auto" w:fill="FFFFFF"/>
            <w:vAlign w:val="bottom"/>
          </w:tcPr>
          <w:p w14:paraId="4742451D"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1996</w:t>
            </w:r>
          </w:p>
        </w:tc>
        <w:tc>
          <w:tcPr>
            <w:tcW w:w="670" w:type="dxa"/>
            <w:tcBorders>
              <w:top w:val="single" w:sz="4" w:space="0" w:color="000000"/>
              <w:bottom w:val="single" w:sz="4" w:space="0" w:color="000000"/>
              <w:right w:val="single" w:sz="4" w:space="0" w:color="000000"/>
            </w:tcBorders>
            <w:shd w:val="clear" w:color="auto" w:fill="FFFFFF"/>
            <w:vAlign w:val="bottom"/>
          </w:tcPr>
          <w:p w14:paraId="54623E5A"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1997</w:t>
            </w:r>
          </w:p>
        </w:tc>
        <w:tc>
          <w:tcPr>
            <w:tcW w:w="670" w:type="dxa"/>
            <w:tcBorders>
              <w:top w:val="single" w:sz="4" w:space="0" w:color="000000"/>
              <w:bottom w:val="single" w:sz="4" w:space="0" w:color="000000"/>
              <w:right w:val="single" w:sz="4" w:space="0" w:color="000000"/>
            </w:tcBorders>
            <w:shd w:val="clear" w:color="auto" w:fill="FFFFFF"/>
            <w:vAlign w:val="bottom"/>
          </w:tcPr>
          <w:p w14:paraId="57FEF436"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1998</w:t>
            </w:r>
          </w:p>
        </w:tc>
        <w:tc>
          <w:tcPr>
            <w:tcW w:w="670" w:type="dxa"/>
            <w:tcBorders>
              <w:top w:val="single" w:sz="4" w:space="0" w:color="000000"/>
              <w:bottom w:val="single" w:sz="4" w:space="0" w:color="000000"/>
              <w:right w:val="single" w:sz="4" w:space="0" w:color="000000"/>
            </w:tcBorders>
            <w:shd w:val="clear" w:color="auto" w:fill="FFFFFF"/>
            <w:vAlign w:val="bottom"/>
          </w:tcPr>
          <w:p w14:paraId="6AEB9C92"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1999</w:t>
            </w:r>
          </w:p>
        </w:tc>
        <w:tc>
          <w:tcPr>
            <w:tcW w:w="747" w:type="dxa"/>
            <w:tcBorders>
              <w:top w:val="single" w:sz="4" w:space="0" w:color="000000"/>
              <w:bottom w:val="single" w:sz="4" w:space="0" w:color="000000"/>
              <w:right w:val="single" w:sz="4" w:space="0" w:color="000000"/>
            </w:tcBorders>
            <w:shd w:val="clear" w:color="auto" w:fill="FFFFFF"/>
            <w:vAlign w:val="bottom"/>
          </w:tcPr>
          <w:p w14:paraId="6BE28EE3"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2000</w:t>
            </w:r>
          </w:p>
        </w:tc>
        <w:tc>
          <w:tcPr>
            <w:tcW w:w="747" w:type="dxa"/>
            <w:tcBorders>
              <w:top w:val="single" w:sz="4" w:space="0" w:color="000000"/>
              <w:bottom w:val="single" w:sz="4" w:space="0" w:color="000000"/>
              <w:right w:val="single" w:sz="4" w:space="0" w:color="000000"/>
            </w:tcBorders>
            <w:shd w:val="clear" w:color="auto" w:fill="FFFFFF"/>
            <w:vAlign w:val="bottom"/>
          </w:tcPr>
          <w:p w14:paraId="6D90926C"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2001</w:t>
            </w:r>
          </w:p>
        </w:tc>
        <w:tc>
          <w:tcPr>
            <w:tcW w:w="761" w:type="dxa"/>
            <w:tcBorders>
              <w:top w:val="single" w:sz="4" w:space="0" w:color="000000"/>
              <w:bottom w:val="single" w:sz="4" w:space="0" w:color="000000"/>
              <w:right w:val="single" w:sz="4" w:space="0" w:color="000000"/>
            </w:tcBorders>
            <w:shd w:val="clear" w:color="auto" w:fill="FFFFFF"/>
            <w:vAlign w:val="bottom"/>
          </w:tcPr>
          <w:p w14:paraId="5E4E3218" w14:textId="77777777" w:rsidR="00F27423" w:rsidRPr="00915B33" w:rsidRDefault="00F27423">
            <w:pPr>
              <w:spacing w:line="240" w:lineRule="auto"/>
              <w:jc w:val="both"/>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2002</w:t>
            </w:r>
          </w:p>
        </w:tc>
      </w:tr>
      <w:tr w:rsidR="00915B33" w:rsidRPr="00915B33" w14:paraId="3B25AC90" w14:textId="77777777" w:rsidTr="00AB1B0D">
        <w:trPr>
          <w:trHeight w:val="253"/>
          <w:jc w:val="center"/>
        </w:trPr>
        <w:tc>
          <w:tcPr>
            <w:tcW w:w="1484" w:type="dxa"/>
            <w:tcBorders>
              <w:left w:val="single" w:sz="4" w:space="0" w:color="000000"/>
              <w:bottom w:val="single" w:sz="4" w:space="0" w:color="000000"/>
              <w:right w:val="single" w:sz="4" w:space="0" w:color="000000"/>
            </w:tcBorders>
            <w:shd w:val="clear" w:color="auto" w:fill="FFFFFF"/>
            <w:vAlign w:val="bottom"/>
          </w:tcPr>
          <w:p w14:paraId="7545AC65"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Importation</w:t>
            </w:r>
          </w:p>
          <w:p w14:paraId="0CF390D0"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Graisse_Gg</w:t>
            </w:r>
          </w:p>
        </w:tc>
        <w:tc>
          <w:tcPr>
            <w:tcW w:w="670" w:type="dxa"/>
            <w:tcBorders>
              <w:bottom w:val="single" w:sz="4" w:space="0" w:color="000000"/>
              <w:right w:val="single" w:sz="4" w:space="0" w:color="000000"/>
            </w:tcBorders>
            <w:shd w:val="clear" w:color="auto" w:fill="FFFFFF"/>
            <w:vAlign w:val="bottom"/>
          </w:tcPr>
          <w:p w14:paraId="77072140"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0,435</w:t>
            </w:r>
          </w:p>
        </w:tc>
        <w:tc>
          <w:tcPr>
            <w:tcW w:w="670" w:type="dxa"/>
            <w:tcBorders>
              <w:bottom w:val="single" w:sz="4" w:space="0" w:color="000000"/>
              <w:right w:val="single" w:sz="4" w:space="0" w:color="000000"/>
            </w:tcBorders>
            <w:shd w:val="clear" w:color="auto" w:fill="FFFFFF"/>
            <w:vAlign w:val="bottom"/>
          </w:tcPr>
          <w:p w14:paraId="67937C19"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0,466</w:t>
            </w:r>
          </w:p>
        </w:tc>
        <w:tc>
          <w:tcPr>
            <w:tcW w:w="670" w:type="dxa"/>
            <w:tcBorders>
              <w:bottom w:val="single" w:sz="4" w:space="0" w:color="000000"/>
              <w:right w:val="single" w:sz="4" w:space="0" w:color="000000"/>
            </w:tcBorders>
            <w:shd w:val="clear" w:color="auto" w:fill="FFFFFF"/>
            <w:vAlign w:val="bottom"/>
          </w:tcPr>
          <w:p w14:paraId="200CC1FF"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0,506</w:t>
            </w:r>
          </w:p>
        </w:tc>
        <w:tc>
          <w:tcPr>
            <w:tcW w:w="670" w:type="dxa"/>
            <w:tcBorders>
              <w:bottom w:val="single" w:sz="4" w:space="0" w:color="000000"/>
              <w:right w:val="single" w:sz="4" w:space="0" w:color="000000"/>
            </w:tcBorders>
            <w:shd w:val="clear" w:color="auto" w:fill="FFFFFF"/>
            <w:vAlign w:val="bottom"/>
          </w:tcPr>
          <w:p w14:paraId="247B113B"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0,599</w:t>
            </w:r>
          </w:p>
        </w:tc>
        <w:tc>
          <w:tcPr>
            <w:tcW w:w="670" w:type="dxa"/>
            <w:tcBorders>
              <w:bottom w:val="single" w:sz="4" w:space="0" w:color="000000"/>
              <w:right w:val="single" w:sz="4" w:space="0" w:color="000000"/>
            </w:tcBorders>
            <w:shd w:val="clear" w:color="auto" w:fill="FFFFFF"/>
            <w:vAlign w:val="bottom"/>
          </w:tcPr>
          <w:p w14:paraId="2050C3C0"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0,681</w:t>
            </w:r>
          </w:p>
        </w:tc>
        <w:tc>
          <w:tcPr>
            <w:tcW w:w="670" w:type="dxa"/>
            <w:tcBorders>
              <w:bottom w:val="single" w:sz="4" w:space="0" w:color="000000"/>
              <w:right w:val="single" w:sz="4" w:space="0" w:color="000000"/>
            </w:tcBorders>
            <w:shd w:val="clear" w:color="auto" w:fill="FFFFFF"/>
            <w:vAlign w:val="bottom"/>
          </w:tcPr>
          <w:p w14:paraId="557262E2"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0,599</w:t>
            </w:r>
          </w:p>
        </w:tc>
        <w:tc>
          <w:tcPr>
            <w:tcW w:w="670" w:type="dxa"/>
            <w:tcBorders>
              <w:bottom w:val="single" w:sz="4" w:space="0" w:color="000000"/>
              <w:right w:val="single" w:sz="4" w:space="0" w:color="000000"/>
            </w:tcBorders>
            <w:shd w:val="clear" w:color="auto" w:fill="FFFFFF"/>
            <w:vAlign w:val="bottom"/>
          </w:tcPr>
          <w:p w14:paraId="2048528B"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0,548</w:t>
            </w:r>
          </w:p>
        </w:tc>
        <w:tc>
          <w:tcPr>
            <w:tcW w:w="670" w:type="dxa"/>
            <w:tcBorders>
              <w:bottom w:val="single" w:sz="4" w:space="0" w:color="000000"/>
              <w:right w:val="single" w:sz="4" w:space="0" w:color="000000"/>
            </w:tcBorders>
            <w:shd w:val="clear" w:color="auto" w:fill="FFFFFF"/>
            <w:vAlign w:val="bottom"/>
          </w:tcPr>
          <w:p w14:paraId="11935B31"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0,596</w:t>
            </w:r>
          </w:p>
        </w:tc>
        <w:tc>
          <w:tcPr>
            <w:tcW w:w="670" w:type="dxa"/>
            <w:tcBorders>
              <w:bottom w:val="single" w:sz="4" w:space="0" w:color="000000"/>
              <w:right w:val="single" w:sz="4" w:space="0" w:color="000000"/>
            </w:tcBorders>
            <w:shd w:val="clear" w:color="auto" w:fill="FFFFFF"/>
            <w:vAlign w:val="bottom"/>
          </w:tcPr>
          <w:p w14:paraId="5D1E1F38"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0,551</w:t>
            </w:r>
          </w:p>
        </w:tc>
        <w:tc>
          <w:tcPr>
            <w:tcW w:w="670" w:type="dxa"/>
            <w:tcBorders>
              <w:bottom w:val="single" w:sz="4" w:space="0" w:color="000000"/>
              <w:right w:val="single" w:sz="4" w:space="0" w:color="000000"/>
            </w:tcBorders>
            <w:shd w:val="clear" w:color="auto" w:fill="FFFFFF"/>
            <w:vAlign w:val="bottom"/>
          </w:tcPr>
          <w:p w14:paraId="67A09EED"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0,522</w:t>
            </w:r>
          </w:p>
        </w:tc>
        <w:tc>
          <w:tcPr>
            <w:tcW w:w="747" w:type="dxa"/>
            <w:tcBorders>
              <w:bottom w:val="single" w:sz="4" w:space="0" w:color="000000"/>
              <w:right w:val="single" w:sz="4" w:space="0" w:color="000000"/>
            </w:tcBorders>
            <w:shd w:val="clear" w:color="auto" w:fill="FFFFFF"/>
            <w:vAlign w:val="bottom"/>
          </w:tcPr>
          <w:p w14:paraId="17FDE668"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0,628</w:t>
            </w:r>
          </w:p>
        </w:tc>
        <w:tc>
          <w:tcPr>
            <w:tcW w:w="747" w:type="dxa"/>
            <w:tcBorders>
              <w:bottom w:val="single" w:sz="4" w:space="0" w:color="000000"/>
              <w:right w:val="single" w:sz="4" w:space="0" w:color="000000"/>
            </w:tcBorders>
            <w:shd w:val="clear" w:color="auto" w:fill="FFFFFF"/>
            <w:vAlign w:val="bottom"/>
          </w:tcPr>
          <w:p w14:paraId="027CE460"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0,722</w:t>
            </w:r>
          </w:p>
        </w:tc>
        <w:tc>
          <w:tcPr>
            <w:tcW w:w="761" w:type="dxa"/>
            <w:tcBorders>
              <w:bottom w:val="single" w:sz="4" w:space="0" w:color="000000"/>
              <w:right w:val="single" w:sz="4" w:space="0" w:color="000000"/>
            </w:tcBorders>
            <w:shd w:val="clear" w:color="auto" w:fill="FFFFFF"/>
            <w:vAlign w:val="bottom"/>
          </w:tcPr>
          <w:p w14:paraId="0C51DA05" w14:textId="77777777" w:rsidR="00F27423" w:rsidRPr="00915B33" w:rsidRDefault="00F27423">
            <w:pPr>
              <w:spacing w:line="240" w:lineRule="auto"/>
              <w:jc w:val="both"/>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0,856</w:t>
            </w:r>
          </w:p>
        </w:tc>
      </w:tr>
      <w:tr w:rsidR="00915B33" w:rsidRPr="00915B33" w14:paraId="59FAC525" w14:textId="77777777" w:rsidTr="00AB1B0D">
        <w:trPr>
          <w:trHeight w:val="253"/>
          <w:jc w:val="center"/>
        </w:trPr>
        <w:tc>
          <w:tcPr>
            <w:tcW w:w="1484" w:type="dxa"/>
            <w:tcBorders>
              <w:left w:val="single" w:sz="4" w:space="0" w:color="000000"/>
              <w:bottom w:val="single" w:sz="4" w:space="0" w:color="000000"/>
              <w:right w:val="single" w:sz="4" w:space="0" w:color="000000"/>
            </w:tcBorders>
            <w:shd w:val="clear" w:color="auto" w:fill="FFFFFF"/>
            <w:vAlign w:val="bottom"/>
          </w:tcPr>
          <w:p w14:paraId="2F59EA5E"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Importation</w:t>
            </w:r>
          </w:p>
          <w:p w14:paraId="2780EF71"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huile_Gg</w:t>
            </w:r>
          </w:p>
        </w:tc>
        <w:tc>
          <w:tcPr>
            <w:tcW w:w="670" w:type="dxa"/>
            <w:tcBorders>
              <w:bottom w:val="single" w:sz="4" w:space="0" w:color="000000"/>
              <w:right w:val="single" w:sz="4" w:space="0" w:color="000000"/>
            </w:tcBorders>
            <w:shd w:val="clear" w:color="auto" w:fill="FFFFFF"/>
            <w:vAlign w:val="bottom"/>
          </w:tcPr>
          <w:p w14:paraId="186E8CFB"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3,915</w:t>
            </w:r>
          </w:p>
        </w:tc>
        <w:tc>
          <w:tcPr>
            <w:tcW w:w="670" w:type="dxa"/>
            <w:tcBorders>
              <w:bottom w:val="single" w:sz="4" w:space="0" w:color="000000"/>
              <w:right w:val="single" w:sz="4" w:space="0" w:color="000000"/>
            </w:tcBorders>
            <w:shd w:val="clear" w:color="auto" w:fill="FFFFFF"/>
            <w:vAlign w:val="bottom"/>
          </w:tcPr>
          <w:p w14:paraId="6423453C"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4,196</w:t>
            </w:r>
          </w:p>
        </w:tc>
        <w:tc>
          <w:tcPr>
            <w:tcW w:w="670" w:type="dxa"/>
            <w:tcBorders>
              <w:bottom w:val="single" w:sz="4" w:space="0" w:color="000000"/>
              <w:right w:val="single" w:sz="4" w:space="0" w:color="000000"/>
            </w:tcBorders>
            <w:shd w:val="clear" w:color="auto" w:fill="FFFFFF"/>
            <w:vAlign w:val="bottom"/>
          </w:tcPr>
          <w:p w14:paraId="3823F6A6"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4,557</w:t>
            </w:r>
          </w:p>
        </w:tc>
        <w:tc>
          <w:tcPr>
            <w:tcW w:w="670" w:type="dxa"/>
            <w:tcBorders>
              <w:bottom w:val="single" w:sz="4" w:space="0" w:color="000000"/>
              <w:right w:val="single" w:sz="4" w:space="0" w:color="000000"/>
            </w:tcBorders>
            <w:shd w:val="clear" w:color="auto" w:fill="FFFFFF"/>
            <w:vAlign w:val="bottom"/>
          </w:tcPr>
          <w:p w14:paraId="56BA0EB4"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5,387</w:t>
            </w:r>
          </w:p>
        </w:tc>
        <w:tc>
          <w:tcPr>
            <w:tcW w:w="670" w:type="dxa"/>
            <w:tcBorders>
              <w:bottom w:val="single" w:sz="4" w:space="0" w:color="000000"/>
              <w:right w:val="single" w:sz="4" w:space="0" w:color="000000"/>
            </w:tcBorders>
            <w:shd w:val="clear" w:color="auto" w:fill="FFFFFF"/>
            <w:vAlign w:val="bottom"/>
          </w:tcPr>
          <w:p w14:paraId="3AD2E569"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6,128</w:t>
            </w:r>
          </w:p>
        </w:tc>
        <w:tc>
          <w:tcPr>
            <w:tcW w:w="670" w:type="dxa"/>
            <w:tcBorders>
              <w:bottom w:val="single" w:sz="4" w:space="0" w:color="000000"/>
              <w:right w:val="single" w:sz="4" w:space="0" w:color="000000"/>
            </w:tcBorders>
            <w:shd w:val="clear" w:color="auto" w:fill="FFFFFF"/>
            <w:vAlign w:val="bottom"/>
          </w:tcPr>
          <w:p w14:paraId="47B7B4B3"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5,389</w:t>
            </w:r>
          </w:p>
        </w:tc>
        <w:tc>
          <w:tcPr>
            <w:tcW w:w="670" w:type="dxa"/>
            <w:tcBorders>
              <w:bottom w:val="single" w:sz="4" w:space="0" w:color="000000"/>
              <w:right w:val="single" w:sz="4" w:space="0" w:color="000000"/>
            </w:tcBorders>
            <w:shd w:val="clear" w:color="auto" w:fill="FFFFFF"/>
            <w:vAlign w:val="bottom"/>
          </w:tcPr>
          <w:p w14:paraId="6D9C22C6"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4,93</w:t>
            </w:r>
          </w:p>
        </w:tc>
        <w:tc>
          <w:tcPr>
            <w:tcW w:w="670" w:type="dxa"/>
            <w:tcBorders>
              <w:bottom w:val="single" w:sz="4" w:space="0" w:color="000000"/>
              <w:right w:val="single" w:sz="4" w:space="0" w:color="000000"/>
            </w:tcBorders>
            <w:shd w:val="clear" w:color="auto" w:fill="FFFFFF"/>
            <w:vAlign w:val="bottom"/>
          </w:tcPr>
          <w:p w14:paraId="19EEE76A"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5,363</w:t>
            </w:r>
          </w:p>
        </w:tc>
        <w:tc>
          <w:tcPr>
            <w:tcW w:w="670" w:type="dxa"/>
            <w:tcBorders>
              <w:bottom w:val="single" w:sz="4" w:space="0" w:color="000000"/>
              <w:right w:val="single" w:sz="4" w:space="0" w:color="000000"/>
            </w:tcBorders>
            <w:shd w:val="clear" w:color="auto" w:fill="FFFFFF"/>
            <w:vAlign w:val="bottom"/>
          </w:tcPr>
          <w:p w14:paraId="7D308D1E"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4,96</w:t>
            </w:r>
          </w:p>
        </w:tc>
        <w:tc>
          <w:tcPr>
            <w:tcW w:w="670" w:type="dxa"/>
            <w:tcBorders>
              <w:bottom w:val="single" w:sz="4" w:space="0" w:color="000000"/>
              <w:right w:val="single" w:sz="4" w:space="0" w:color="000000"/>
            </w:tcBorders>
            <w:shd w:val="clear" w:color="auto" w:fill="FFFFFF"/>
            <w:vAlign w:val="bottom"/>
          </w:tcPr>
          <w:p w14:paraId="4AA2C045"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4,701</w:t>
            </w:r>
          </w:p>
        </w:tc>
        <w:tc>
          <w:tcPr>
            <w:tcW w:w="747" w:type="dxa"/>
            <w:tcBorders>
              <w:bottom w:val="single" w:sz="4" w:space="0" w:color="000000"/>
              <w:right w:val="single" w:sz="4" w:space="0" w:color="000000"/>
            </w:tcBorders>
            <w:shd w:val="clear" w:color="auto" w:fill="FFFFFF"/>
            <w:vAlign w:val="bottom"/>
          </w:tcPr>
          <w:p w14:paraId="60B6E105"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5,648</w:t>
            </w:r>
          </w:p>
        </w:tc>
        <w:tc>
          <w:tcPr>
            <w:tcW w:w="747" w:type="dxa"/>
            <w:tcBorders>
              <w:bottom w:val="single" w:sz="4" w:space="0" w:color="000000"/>
              <w:right w:val="single" w:sz="4" w:space="0" w:color="000000"/>
            </w:tcBorders>
            <w:shd w:val="clear" w:color="auto" w:fill="FFFFFF"/>
            <w:vAlign w:val="bottom"/>
          </w:tcPr>
          <w:p w14:paraId="62E3615E"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6,496</w:t>
            </w:r>
          </w:p>
        </w:tc>
        <w:tc>
          <w:tcPr>
            <w:tcW w:w="761" w:type="dxa"/>
            <w:tcBorders>
              <w:bottom w:val="single" w:sz="4" w:space="0" w:color="000000"/>
              <w:right w:val="single" w:sz="4" w:space="0" w:color="000000"/>
            </w:tcBorders>
            <w:shd w:val="clear" w:color="auto" w:fill="FFFFFF"/>
            <w:vAlign w:val="bottom"/>
          </w:tcPr>
          <w:p w14:paraId="481B4A36" w14:textId="77777777" w:rsidR="00F27423" w:rsidRPr="00915B33" w:rsidRDefault="00F27423">
            <w:pPr>
              <w:spacing w:line="240" w:lineRule="auto"/>
              <w:jc w:val="both"/>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7,702</w:t>
            </w:r>
          </w:p>
        </w:tc>
      </w:tr>
      <w:tr w:rsidR="00915B33" w:rsidRPr="00915B33" w14:paraId="49DE5324" w14:textId="77777777" w:rsidTr="00AB1B0D">
        <w:trPr>
          <w:trHeight w:val="253"/>
          <w:jc w:val="center"/>
        </w:trPr>
        <w:tc>
          <w:tcPr>
            <w:tcW w:w="1484" w:type="dxa"/>
            <w:tcBorders>
              <w:left w:val="single" w:sz="4" w:space="0" w:color="000000"/>
              <w:bottom w:val="single" w:sz="4" w:space="0" w:color="000000"/>
              <w:right w:val="single" w:sz="4" w:space="0" w:color="000000"/>
            </w:tcBorders>
            <w:shd w:val="clear" w:color="auto" w:fill="FFFFFF"/>
            <w:vAlign w:val="bottom"/>
          </w:tcPr>
          <w:p w14:paraId="0469F9E2"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 xml:space="preserve">Importation </w:t>
            </w:r>
          </w:p>
          <w:p w14:paraId="70A3F39E"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bitume_Gg</w:t>
            </w:r>
          </w:p>
        </w:tc>
        <w:tc>
          <w:tcPr>
            <w:tcW w:w="670" w:type="dxa"/>
            <w:tcBorders>
              <w:bottom w:val="single" w:sz="4" w:space="0" w:color="000000"/>
              <w:right w:val="single" w:sz="4" w:space="0" w:color="000000"/>
            </w:tcBorders>
            <w:shd w:val="clear" w:color="auto" w:fill="FFFFFF"/>
            <w:vAlign w:val="bottom"/>
          </w:tcPr>
          <w:p w14:paraId="5CC5EE28"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w:t>
            </w:r>
          </w:p>
        </w:tc>
        <w:tc>
          <w:tcPr>
            <w:tcW w:w="670" w:type="dxa"/>
            <w:tcBorders>
              <w:bottom w:val="single" w:sz="4" w:space="0" w:color="000000"/>
              <w:right w:val="single" w:sz="4" w:space="0" w:color="000000"/>
            </w:tcBorders>
            <w:shd w:val="clear" w:color="auto" w:fill="FFFFFF"/>
            <w:vAlign w:val="bottom"/>
          </w:tcPr>
          <w:p w14:paraId="304E54D1"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1,8</w:t>
            </w:r>
          </w:p>
        </w:tc>
        <w:tc>
          <w:tcPr>
            <w:tcW w:w="670" w:type="dxa"/>
            <w:tcBorders>
              <w:bottom w:val="single" w:sz="4" w:space="0" w:color="000000"/>
              <w:right w:val="single" w:sz="4" w:space="0" w:color="000000"/>
            </w:tcBorders>
            <w:shd w:val="clear" w:color="auto" w:fill="FFFFFF"/>
            <w:vAlign w:val="bottom"/>
          </w:tcPr>
          <w:p w14:paraId="48189910"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0,86</w:t>
            </w:r>
          </w:p>
        </w:tc>
        <w:tc>
          <w:tcPr>
            <w:tcW w:w="670" w:type="dxa"/>
            <w:tcBorders>
              <w:bottom w:val="single" w:sz="4" w:space="0" w:color="000000"/>
              <w:right w:val="single" w:sz="4" w:space="0" w:color="000000"/>
            </w:tcBorders>
            <w:shd w:val="clear" w:color="auto" w:fill="FFFFFF"/>
            <w:vAlign w:val="bottom"/>
          </w:tcPr>
          <w:p w14:paraId="72B4CB0F"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1,15</w:t>
            </w:r>
          </w:p>
        </w:tc>
        <w:tc>
          <w:tcPr>
            <w:tcW w:w="670" w:type="dxa"/>
            <w:tcBorders>
              <w:bottom w:val="single" w:sz="4" w:space="0" w:color="000000"/>
              <w:right w:val="single" w:sz="4" w:space="0" w:color="000000"/>
            </w:tcBorders>
            <w:shd w:val="clear" w:color="auto" w:fill="FFFFFF"/>
            <w:vAlign w:val="bottom"/>
          </w:tcPr>
          <w:p w14:paraId="1CDEECE5"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1,73</w:t>
            </w:r>
          </w:p>
        </w:tc>
        <w:tc>
          <w:tcPr>
            <w:tcW w:w="670" w:type="dxa"/>
            <w:tcBorders>
              <w:bottom w:val="single" w:sz="4" w:space="0" w:color="000000"/>
              <w:right w:val="single" w:sz="4" w:space="0" w:color="000000"/>
            </w:tcBorders>
            <w:shd w:val="clear" w:color="auto" w:fill="FFFFFF"/>
            <w:vAlign w:val="bottom"/>
          </w:tcPr>
          <w:p w14:paraId="2F32DD24"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1,57</w:t>
            </w:r>
          </w:p>
        </w:tc>
        <w:tc>
          <w:tcPr>
            <w:tcW w:w="670" w:type="dxa"/>
            <w:tcBorders>
              <w:bottom w:val="single" w:sz="4" w:space="0" w:color="000000"/>
              <w:right w:val="single" w:sz="4" w:space="0" w:color="000000"/>
            </w:tcBorders>
            <w:shd w:val="clear" w:color="auto" w:fill="FFFFFF"/>
            <w:vAlign w:val="bottom"/>
          </w:tcPr>
          <w:p w14:paraId="4D5A80A6"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4,82</w:t>
            </w:r>
          </w:p>
        </w:tc>
        <w:tc>
          <w:tcPr>
            <w:tcW w:w="670" w:type="dxa"/>
            <w:tcBorders>
              <w:bottom w:val="single" w:sz="4" w:space="0" w:color="000000"/>
              <w:right w:val="single" w:sz="4" w:space="0" w:color="000000"/>
            </w:tcBorders>
            <w:shd w:val="clear" w:color="auto" w:fill="FFFFFF"/>
            <w:vAlign w:val="bottom"/>
          </w:tcPr>
          <w:p w14:paraId="24064097"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6,4</w:t>
            </w:r>
          </w:p>
        </w:tc>
        <w:tc>
          <w:tcPr>
            <w:tcW w:w="670" w:type="dxa"/>
            <w:tcBorders>
              <w:bottom w:val="single" w:sz="4" w:space="0" w:color="000000"/>
              <w:right w:val="single" w:sz="4" w:space="0" w:color="000000"/>
            </w:tcBorders>
            <w:shd w:val="clear" w:color="auto" w:fill="FFFFFF"/>
            <w:vAlign w:val="bottom"/>
          </w:tcPr>
          <w:p w14:paraId="1EE8A3FE"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0,87</w:t>
            </w:r>
          </w:p>
        </w:tc>
        <w:tc>
          <w:tcPr>
            <w:tcW w:w="670" w:type="dxa"/>
            <w:tcBorders>
              <w:bottom w:val="single" w:sz="4" w:space="0" w:color="000000"/>
              <w:right w:val="single" w:sz="4" w:space="0" w:color="000000"/>
            </w:tcBorders>
            <w:shd w:val="clear" w:color="auto" w:fill="FFFFFF"/>
            <w:vAlign w:val="bottom"/>
          </w:tcPr>
          <w:p w14:paraId="5DE81785"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4,02</w:t>
            </w:r>
          </w:p>
        </w:tc>
        <w:tc>
          <w:tcPr>
            <w:tcW w:w="747" w:type="dxa"/>
            <w:tcBorders>
              <w:bottom w:val="single" w:sz="4" w:space="0" w:color="000000"/>
              <w:right w:val="single" w:sz="4" w:space="0" w:color="000000"/>
            </w:tcBorders>
            <w:shd w:val="clear" w:color="auto" w:fill="FFFFFF"/>
            <w:vAlign w:val="bottom"/>
          </w:tcPr>
          <w:p w14:paraId="2BDB37C3"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0,92</w:t>
            </w:r>
          </w:p>
        </w:tc>
        <w:tc>
          <w:tcPr>
            <w:tcW w:w="747" w:type="dxa"/>
            <w:tcBorders>
              <w:bottom w:val="single" w:sz="4" w:space="0" w:color="000000"/>
              <w:right w:val="single" w:sz="4" w:space="0" w:color="000000"/>
            </w:tcBorders>
            <w:shd w:val="clear" w:color="auto" w:fill="FFFFFF"/>
            <w:vAlign w:val="bottom"/>
          </w:tcPr>
          <w:p w14:paraId="13F703A4"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2,13</w:t>
            </w:r>
          </w:p>
        </w:tc>
        <w:tc>
          <w:tcPr>
            <w:tcW w:w="761" w:type="dxa"/>
            <w:tcBorders>
              <w:bottom w:val="single" w:sz="4" w:space="0" w:color="000000"/>
              <w:right w:val="single" w:sz="4" w:space="0" w:color="000000"/>
            </w:tcBorders>
            <w:shd w:val="clear" w:color="auto" w:fill="FFFFFF"/>
            <w:vAlign w:val="bottom"/>
          </w:tcPr>
          <w:p w14:paraId="06536F37" w14:textId="77777777" w:rsidR="00F27423" w:rsidRPr="00915B33" w:rsidRDefault="00F27423">
            <w:pPr>
              <w:spacing w:line="240" w:lineRule="auto"/>
              <w:jc w:val="both"/>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1,5</w:t>
            </w:r>
          </w:p>
        </w:tc>
      </w:tr>
      <w:tr w:rsidR="00915B33" w:rsidRPr="00915B33" w14:paraId="32E3E3BF" w14:textId="77777777" w:rsidTr="00AB1B0D">
        <w:trPr>
          <w:trHeight w:val="253"/>
          <w:jc w:val="center"/>
        </w:trPr>
        <w:tc>
          <w:tcPr>
            <w:tcW w:w="1484" w:type="dxa"/>
            <w:tcBorders>
              <w:left w:val="single" w:sz="4" w:space="0" w:color="000000"/>
              <w:bottom w:val="single" w:sz="4" w:space="0" w:color="000000"/>
              <w:right w:val="single" w:sz="4" w:space="0" w:color="000000"/>
            </w:tcBorders>
            <w:shd w:val="clear" w:color="auto" w:fill="7F7F7F"/>
            <w:vAlign w:val="bottom"/>
          </w:tcPr>
          <w:p w14:paraId="712874D3"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 </w:t>
            </w:r>
          </w:p>
        </w:tc>
        <w:tc>
          <w:tcPr>
            <w:tcW w:w="670" w:type="dxa"/>
            <w:tcBorders>
              <w:bottom w:val="single" w:sz="4" w:space="0" w:color="000000"/>
              <w:right w:val="single" w:sz="4" w:space="0" w:color="000000"/>
            </w:tcBorders>
            <w:shd w:val="clear" w:color="auto" w:fill="7F7F7F"/>
            <w:vAlign w:val="bottom"/>
          </w:tcPr>
          <w:p w14:paraId="3816C04F"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 </w:t>
            </w:r>
          </w:p>
        </w:tc>
        <w:tc>
          <w:tcPr>
            <w:tcW w:w="670" w:type="dxa"/>
            <w:tcBorders>
              <w:bottom w:val="single" w:sz="4" w:space="0" w:color="000000"/>
              <w:right w:val="single" w:sz="4" w:space="0" w:color="000000"/>
            </w:tcBorders>
            <w:shd w:val="clear" w:color="auto" w:fill="7F7F7F"/>
            <w:vAlign w:val="bottom"/>
          </w:tcPr>
          <w:p w14:paraId="5BDC61B3"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 </w:t>
            </w:r>
          </w:p>
        </w:tc>
        <w:tc>
          <w:tcPr>
            <w:tcW w:w="670" w:type="dxa"/>
            <w:tcBorders>
              <w:bottom w:val="single" w:sz="4" w:space="0" w:color="000000"/>
              <w:right w:val="single" w:sz="4" w:space="0" w:color="000000"/>
            </w:tcBorders>
            <w:shd w:val="clear" w:color="auto" w:fill="7F7F7F"/>
            <w:vAlign w:val="bottom"/>
          </w:tcPr>
          <w:p w14:paraId="309D096A"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 </w:t>
            </w:r>
          </w:p>
        </w:tc>
        <w:tc>
          <w:tcPr>
            <w:tcW w:w="670" w:type="dxa"/>
            <w:tcBorders>
              <w:bottom w:val="single" w:sz="4" w:space="0" w:color="000000"/>
              <w:right w:val="single" w:sz="4" w:space="0" w:color="000000"/>
            </w:tcBorders>
            <w:shd w:val="clear" w:color="auto" w:fill="7F7F7F"/>
            <w:vAlign w:val="bottom"/>
          </w:tcPr>
          <w:p w14:paraId="137EE4E1"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 </w:t>
            </w:r>
          </w:p>
        </w:tc>
        <w:tc>
          <w:tcPr>
            <w:tcW w:w="670" w:type="dxa"/>
            <w:tcBorders>
              <w:bottom w:val="single" w:sz="4" w:space="0" w:color="000000"/>
              <w:right w:val="single" w:sz="4" w:space="0" w:color="000000"/>
            </w:tcBorders>
            <w:shd w:val="clear" w:color="auto" w:fill="7F7F7F"/>
            <w:vAlign w:val="bottom"/>
          </w:tcPr>
          <w:p w14:paraId="061F3627"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 </w:t>
            </w:r>
          </w:p>
        </w:tc>
        <w:tc>
          <w:tcPr>
            <w:tcW w:w="670" w:type="dxa"/>
            <w:tcBorders>
              <w:bottom w:val="single" w:sz="4" w:space="0" w:color="000000"/>
              <w:right w:val="single" w:sz="4" w:space="0" w:color="000000"/>
            </w:tcBorders>
            <w:shd w:val="clear" w:color="auto" w:fill="7F7F7F"/>
            <w:vAlign w:val="bottom"/>
          </w:tcPr>
          <w:p w14:paraId="766D224C"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 </w:t>
            </w:r>
          </w:p>
        </w:tc>
        <w:tc>
          <w:tcPr>
            <w:tcW w:w="670" w:type="dxa"/>
            <w:tcBorders>
              <w:bottom w:val="single" w:sz="4" w:space="0" w:color="000000"/>
              <w:right w:val="single" w:sz="4" w:space="0" w:color="000000"/>
            </w:tcBorders>
            <w:shd w:val="clear" w:color="auto" w:fill="7F7F7F"/>
            <w:vAlign w:val="bottom"/>
          </w:tcPr>
          <w:p w14:paraId="53C9BD49"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 </w:t>
            </w:r>
          </w:p>
        </w:tc>
        <w:tc>
          <w:tcPr>
            <w:tcW w:w="670" w:type="dxa"/>
            <w:tcBorders>
              <w:bottom w:val="single" w:sz="4" w:space="0" w:color="000000"/>
              <w:right w:val="single" w:sz="4" w:space="0" w:color="000000"/>
            </w:tcBorders>
            <w:shd w:val="clear" w:color="auto" w:fill="7F7F7F"/>
            <w:vAlign w:val="bottom"/>
          </w:tcPr>
          <w:p w14:paraId="7D6F8723"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 </w:t>
            </w:r>
          </w:p>
        </w:tc>
        <w:tc>
          <w:tcPr>
            <w:tcW w:w="670" w:type="dxa"/>
            <w:tcBorders>
              <w:bottom w:val="single" w:sz="4" w:space="0" w:color="000000"/>
              <w:right w:val="single" w:sz="4" w:space="0" w:color="000000"/>
            </w:tcBorders>
            <w:shd w:val="clear" w:color="auto" w:fill="7F7F7F"/>
            <w:vAlign w:val="bottom"/>
          </w:tcPr>
          <w:p w14:paraId="3AA03FF4"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 </w:t>
            </w:r>
          </w:p>
        </w:tc>
        <w:tc>
          <w:tcPr>
            <w:tcW w:w="670" w:type="dxa"/>
            <w:tcBorders>
              <w:bottom w:val="single" w:sz="4" w:space="0" w:color="000000"/>
              <w:right w:val="single" w:sz="4" w:space="0" w:color="000000"/>
            </w:tcBorders>
            <w:shd w:val="clear" w:color="auto" w:fill="7F7F7F"/>
            <w:vAlign w:val="bottom"/>
          </w:tcPr>
          <w:p w14:paraId="30C23F65"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 </w:t>
            </w:r>
          </w:p>
        </w:tc>
        <w:tc>
          <w:tcPr>
            <w:tcW w:w="747" w:type="dxa"/>
            <w:tcBorders>
              <w:bottom w:val="single" w:sz="4" w:space="0" w:color="000000"/>
              <w:right w:val="single" w:sz="4" w:space="0" w:color="000000"/>
            </w:tcBorders>
            <w:shd w:val="clear" w:color="auto" w:fill="7F7F7F"/>
            <w:vAlign w:val="bottom"/>
          </w:tcPr>
          <w:p w14:paraId="2706D1AC"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 </w:t>
            </w:r>
          </w:p>
        </w:tc>
        <w:tc>
          <w:tcPr>
            <w:tcW w:w="747" w:type="dxa"/>
            <w:tcBorders>
              <w:bottom w:val="single" w:sz="4" w:space="0" w:color="000000"/>
              <w:right w:val="single" w:sz="4" w:space="0" w:color="000000"/>
            </w:tcBorders>
            <w:shd w:val="clear" w:color="auto" w:fill="7F7F7F"/>
            <w:vAlign w:val="bottom"/>
          </w:tcPr>
          <w:p w14:paraId="4BA66E01"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 </w:t>
            </w:r>
          </w:p>
        </w:tc>
        <w:tc>
          <w:tcPr>
            <w:tcW w:w="761" w:type="dxa"/>
            <w:tcBorders>
              <w:bottom w:val="single" w:sz="4" w:space="0" w:color="000000"/>
              <w:right w:val="single" w:sz="4" w:space="0" w:color="000000"/>
            </w:tcBorders>
            <w:shd w:val="clear" w:color="auto" w:fill="7F7F7F"/>
            <w:vAlign w:val="bottom"/>
          </w:tcPr>
          <w:p w14:paraId="4AD6F0E2" w14:textId="77777777" w:rsidR="00F27423" w:rsidRPr="00915B33" w:rsidRDefault="00F27423">
            <w:pPr>
              <w:spacing w:line="240" w:lineRule="auto"/>
              <w:jc w:val="both"/>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 </w:t>
            </w:r>
          </w:p>
        </w:tc>
      </w:tr>
      <w:tr w:rsidR="00915B33" w:rsidRPr="00915B33" w14:paraId="55D2635A" w14:textId="77777777" w:rsidTr="00AB1B0D">
        <w:trPr>
          <w:trHeight w:val="253"/>
          <w:jc w:val="center"/>
        </w:trPr>
        <w:tc>
          <w:tcPr>
            <w:tcW w:w="1484" w:type="dxa"/>
            <w:tcBorders>
              <w:left w:val="single" w:sz="4" w:space="0" w:color="000000"/>
              <w:bottom w:val="single" w:sz="4" w:space="0" w:color="000000"/>
              <w:right w:val="single" w:sz="4" w:space="0" w:color="000000"/>
            </w:tcBorders>
            <w:shd w:val="clear" w:color="auto" w:fill="FFFFFF"/>
            <w:vAlign w:val="bottom"/>
          </w:tcPr>
          <w:p w14:paraId="6BA4E176"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Années</w:t>
            </w:r>
          </w:p>
        </w:tc>
        <w:tc>
          <w:tcPr>
            <w:tcW w:w="670" w:type="dxa"/>
            <w:tcBorders>
              <w:bottom w:val="single" w:sz="4" w:space="0" w:color="000000"/>
              <w:right w:val="single" w:sz="4" w:space="0" w:color="000000"/>
            </w:tcBorders>
            <w:shd w:val="clear" w:color="auto" w:fill="FFFFFF"/>
            <w:vAlign w:val="bottom"/>
          </w:tcPr>
          <w:p w14:paraId="2F6A6C38"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2003</w:t>
            </w:r>
          </w:p>
        </w:tc>
        <w:tc>
          <w:tcPr>
            <w:tcW w:w="670" w:type="dxa"/>
            <w:tcBorders>
              <w:bottom w:val="single" w:sz="4" w:space="0" w:color="000000"/>
              <w:right w:val="single" w:sz="4" w:space="0" w:color="000000"/>
            </w:tcBorders>
            <w:shd w:val="clear" w:color="auto" w:fill="FFFFFF"/>
            <w:vAlign w:val="bottom"/>
          </w:tcPr>
          <w:p w14:paraId="20C68008"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2004</w:t>
            </w:r>
          </w:p>
        </w:tc>
        <w:tc>
          <w:tcPr>
            <w:tcW w:w="670" w:type="dxa"/>
            <w:tcBorders>
              <w:bottom w:val="single" w:sz="4" w:space="0" w:color="000000"/>
              <w:right w:val="single" w:sz="4" w:space="0" w:color="000000"/>
            </w:tcBorders>
            <w:shd w:val="clear" w:color="auto" w:fill="FFFFFF"/>
            <w:vAlign w:val="bottom"/>
          </w:tcPr>
          <w:p w14:paraId="7A2A64A8"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2005</w:t>
            </w:r>
          </w:p>
        </w:tc>
        <w:tc>
          <w:tcPr>
            <w:tcW w:w="670" w:type="dxa"/>
            <w:tcBorders>
              <w:bottom w:val="single" w:sz="4" w:space="0" w:color="000000"/>
              <w:right w:val="single" w:sz="4" w:space="0" w:color="000000"/>
            </w:tcBorders>
            <w:shd w:val="clear" w:color="auto" w:fill="FFFFFF"/>
            <w:vAlign w:val="bottom"/>
          </w:tcPr>
          <w:p w14:paraId="4764723F"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2006</w:t>
            </w:r>
          </w:p>
        </w:tc>
        <w:tc>
          <w:tcPr>
            <w:tcW w:w="670" w:type="dxa"/>
            <w:tcBorders>
              <w:bottom w:val="single" w:sz="4" w:space="0" w:color="000000"/>
              <w:right w:val="single" w:sz="4" w:space="0" w:color="000000"/>
            </w:tcBorders>
            <w:shd w:val="clear" w:color="auto" w:fill="FFFFFF"/>
            <w:vAlign w:val="bottom"/>
          </w:tcPr>
          <w:p w14:paraId="737FC668"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2007</w:t>
            </w:r>
          </w:p>
        </w:tc>
        <w:tc>
          <w:tcPr>
            <w:tcW w:w="670" w:type="dxa"/>
            <w:tcBorders>
              <w:bottom w:val="single" w:sz="4" w:space="0" w:color="000000"/>
              <w:right w:val="single" w:sz="4" w:space="0" w:color="000000"/>
            </w:tcBorders>
            <w:shd w:val="clear" w:color="auto" w:fill="FFFFFF"/>
            <w:vAlign w:val="bottom"/>
          </w:tcPr>
          <w:p w14:paraId="07EB76BA"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2008</w:t>
            </w:r>
          </w:p>
        </w:tc>
        <w:tc>
          <w:tcPr>
            <w:tcW w:w="670" w:type="dxa"/>
            <w:tcBorders>
              <w:bottom w:val="single" w:sz="4" w:space="0" w:color="000000"/>
              <w:right w:val="single" w:sz="4" w:space="0" w:color="000000"/>
            </w:tcBorders>
            <w:shd w:val="clear" w:color="auto" w:fill="FFFFFF"/>
            <w:vAlign w:val="bottom"/>
          </w:tcPr>
          <w:p w14:paraId="6F366342"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2009</w:t>
            </w:r>
          </w:p>
        </w:tc>
        <w:tc>
          <w:tcPr>
            <w:tcW w:w="670" w:type="dxa"/>
            <w:tcBorders>
              <w:bottom w:val="single" w:sz="4" w:space="0" w:color="000000"/>
              <w:right w:val="single" w:sz="4" w:space="0" w:color="000000"/>
            </w:tcBorders>
            <w:shd w:val="clear" w:color="auto" w:fill="FFFFFF"/>
            <w:vAlign w:val="bottom"/>
          </w:tcPr>
          <w:p w14:paraId="148AC2D5"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2010</w:t>
            </w:r>
          </w:p>
        </w:tc>
        <w:tc>
          <w:tcPr>
            <w:tcW w:w="670" w:type="dxa"/>
            <w:tcBorders>
              <w:bottom w:val="single" w:sz="4" w:space="0" w:color="000000"/>
              <w:right w:val="single" w:sz="4" w:space="0" w:color="000000"/>
            </w:tcBorders>
            <w:shd w:val="clear" w:color="auto" w:fill="FFFFFF"/>
            <w:vAlign w:val="bottom"/>
          </w:tcPr>
          <w:p w14:paraId="2A610F91"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2011</w:t>
            </w:r>
          </w:p>
        </w:tc>
        <w:tc>
          <w:tcPr>
            <w:tcW w:w="670" w:type="dxa"/>
            <w:tcBorders>
              <w:bottom w:val="single" w:sz="4" w:space="0" w:color="000000"/>
              <w:right w:val="single" w:sz="4" w:space="0" w:color="000000"/>
            </w:tcBorders>
            <w:shd w:val="clear" w:color="auto" w:fill="FFFFFF"/>
            <w:vAlign w:val="bottom"/>
          </w:tcPr>
          <w:p w14:paraId="689EEB44"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2012</w:t>
            </w:r>
          </w:p>
        </w:tc>
        <w:tc>
          <w:tcPr>
            <w:tcW w:w="747" w:type="dxa"/>
            <w:tcBorders>
              <w:bottom w:val="single" w:sz="4" w:space="0" w:color="000000"/>
              <w:right w:val="single" w:sz="4" w:space="0" w:color="000000"/>
            </w:tcBorders>
            <w:shd w:val="clear" w:color="auto" w:fill="FFFFFF"/>
            <w:vAlign w:val="bottom"/>
          </w:tcPr>
          <w:p w14:paraId="33B47562"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2013</w:t>
            </w:r>
          </w:p>
        </w:tc>
        <w:tc>
          <w:tcPr>
            <w:tcW w:w="747" w:type="dxa"/>
            <w:tcBorders>
              <w:bottom w:val="single" w:sz="4" w:space="0" w:color="000000"/>
              <w:right w:val="single" w:sz="4" w:space="0" w:color="000000"/>
            </w:tcBorders>
            <w:shd w:val="clear" w:color="auto" w:fill="FFFFFF"/>
            <w:vAlign w:val="bottom"/>
          </w:tcPr>
          <w:p w14:paraId="2D07F6BC"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2014</w:t>
            </w:r>
          </w:p>
        </w:tc>
        <w:tc>
          <w:tcPr>
            <w:tcW w:w="761" w:type="dxa"/>
            <w:tcBorders>
              <w:bottom w:val="single" w:sz="4" w:space="0" w:color="000000"/>
              <w:right w:val="single" w:sz="4" w:space="0" w:color="000000"/>
            </w:tcBorders>
            <w:shd w:val="clear" w:color="auto" w:fill="FFFFFF"/>
            <w:vAlign w:val="bottom"/>
          </w:tcPr>
          <w:p w14:paraId="259164BD" w14:textId="77777777" w:rsidR="00F27423" w:rsidRPr="00915B33" w:rsidRDefault="00F27423">
            <w:pPr>
              <w:spacing w:line="240" w:lineRule="auto"/>
              <w:jc w:val="both"/>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2015</w:t>
            </w:r>
          </w:p>
        </w:tc>
      </w:tr>
      <w:tr w:rsidR="00915B33" w:rsidRPr="00915B33" w14:paraId="41884CE9" w14:textId="77777777" w:rsidTr="00AB1B0D">
        <w:trPr>
          <w:trHeight w:val="253"/>
          <w:jc w:val="center"/>
        </w:trPr>
        <w:tc>
          <w:tcPr>
            <w:tcW w:w="1484" w:type="dxa"/>
            <w:tcBorders>
              <w:left w:val="single" w:sz="4" w:space="0" w:color="000000"/>
              <w:bottom w:val="single" w:sz="4" w:space="0" w:color="000000"/>
              <w:right w:val="single" w:sz="4" w:space="0" w:color="000000"/>
            </w:tcBorders>
            <w:shd w:val="clear" w:color="auto" w:fill="FFFFFF"/>
            <w:vAlign w:val="bottom"/>
          </w:tcPr>
          <w:p w14:paraId="033A527C"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Importation</w:t>
            </w:r>
          </w:p>
          <w:p w14:paraId="6F7B09E7"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Graisse_Gg</w:t>
            </w:r>
          </w:p>
        </w:tc>
        <w:tc>
          <w:tcPr>
            <w:tcW w:w="670" w:type="dxa"/>
            <w:tcBorders>
              <w:bottom w:val="single" w:sz="4" w:space="0" w:color="000000"/>
              <w:right w:val="single" w:sz="4" w:space="0" w:color="000000"/>
            </w:tcBorders>
            <w:shd w:val="clear" w:color="auto" w:fill="FFFFFF"/>
            <w:vAlign w:val="bottom"/>
          </w:tcPr>
          <w:p w14:paraId="5E37DF3A"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0,757</w:t>
            </w:r>
          </w:p>
        </w:tc>
        <w:tc>
          <w:tcPr>
            <w:tcW w:w="670" w:type="dxa"/>
            <w:tcBorders>
              <w:bottom w:val="single" w:sz="4" w:space="0" w:color="000000"/>
              <w:right w:val="single" w:sz="4" w:space="0" w:color="000000"/>
            </w:tcBorders>
            <w:shd w:val="clear" w:color="auto" w:fill="FFFFFF"/>
            <w:vAlign w:val="bottom"/>
          </w:tcPr>
          <w:p w14:paraId="207B8BAA"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0,825</w:t>
            </w:r>
          </w:p>
        </w:tc>
        <w:tc>
          <w:tcPr>
            <w:tcW w:w="670" w:type="dxa"/>
            <w:tcBorders>
              <w:bottom w:val="single" w:sz="4" w:space="0" w:color="000000"/>
              <w:right w:val="single" w:sz="4" w:space="0" w:color="000000"/>
            </w:tcBorders>
            <w:shd w:val="clear" w:color="auto" w:fill="FFFFFF"/>
            <w:vAlign w:val="bottom"/>
          </w:tcPr>
          <w:p w14:paraId="3EA9B932"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0,703</w:t>
            </w:r>
          </w:p>
        </w:tc>
        <w:tc>
          <w:tcPr>
            <w:tcW w:w="670" w:type="dxa"/>
            <w:tcBorders>
              <w:bottom w:val="single" w:sz="4" w:space="0" w:color="000000"/>
              <w:right w:val="single" w:sz="4" w:space="0" w:color="000000"/>
            </w:tcBorders>
            <w:shd w:val="clear" w:color="auto" w:fill="FFFFFF"/>
            <w:vAlign w:val="bottom"/>
          </w:tcPr>
          <w:p w14:paraId="10329519"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0,781</w:t>
            </w:r>
          </w:p>
        </w:tc>
        <w:tc>
          <w:tcPr>
            <w:tcW w:w="670" w:type="dxa"/>
            <w:tcBorders>
              <w:bottom w:val="single" w:sz="4" w:space="0" w:color="000000"/>
              <w:right w:val="single" w:sz="4" w:space="0" w:color="000000"/>
            </w:tcBorders>
            <w:shd w:val="clear" w:color="auto" w:fill="FFFFFF"/>
            <w:vAlign w:val="bottom"/>
          </w:tcPr>
          <w:p w14:paraId="7F8EA310"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1,168</w:t>
            </w:r>
          </w:p>
        </w:tc>
        <w:tc>
          <w:tcPr>
            <w:tcW w:w="670" w:type="dxa"/>
            <w:tcBorders>
              <w:bottom w:val="single" w:sz="4" w:space="0" w:color="000000"/>
              <w:right w:val="single" w:sz="4" w:space="0" w:color="000000"/>
            </w:tcBorders>
            <w:shd w:val="clear" w:color="auto" w:fill="FFFFFF"/>
            <w:vAlign w:val="bottom"/>
          </w:tcPr>
          <w:p w14:paraId="1E12ABDA"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0,978</w:t>
            </w:r>
          </w:p>
        </w:tc>
        <w:tc>
          <w:tcPr>
            <w:tcW w:w="670" w:type="dxa"/>
            <w:tcBorders>
              <w:bottom w:val="single" w:sz="4" w:space="0" w:color="000000"/>
              <w:right w:val="single" w:sz="4" w:space="0" w:color="000000"/>
            </w:tcBorders>
            <w:shd w:val="clear" w:color="auto" w:fill="FFFFFF"/>
            <w:vAlign w:val="bottom"/>
          </w:tcPr>
          <w:p w14:paraId="4D579A98"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1,144</w:t>
            </w:r>
          </w:p>
        </w:tc>
        <w:tc>
          <w:tcPr>
            <w:tcW w:w="670" w:type="dxa"/>
            <w:tcBorders>
              <w:bottom w:val="single" w:sz="4" w:space="0" w:color="000000"/>
              <w:right w:val="single" w:sz="4" w:space="0" w:color="000000"/>
            </w:tcBorders>
            <w:shd w:val="clear" w:color="auto" w:fill="FFFFFF"/>
            <w:vAlign w:val="bottom"/>
          </w:tcPr>
          <w:p w14:paraId="34D28F3D"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1,046</w:t>
            </w:r>
          </w:p>
        </w:tc>
        <w:tc>
          <w:tcPr>
            <w:tcW w:w="670" w:type="dxa"/>
            <w:tcBorders>
              <w:bottom w:val="single" w:sz="4" w:space="0" w:color="000000"/>
              <w:right w:val="single" w:sz="4" w:space="0" w:color="000000"/>
            </w:tcBorders>
            <w:shd w:val="clear" w:color="auto" w:fill="FFFFFF"/>
            <w:vAlign w:val="bottom"/>
          </w:tcPr>
          <w:p w14:paraId="0CCDDEB8"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1,156</w:t>
            </w:r>
          </w:p>
        </w:tc>
        <w:tc>
          <w:tcPr>
            <w:tcW w:w="670" w:type="dxa"/>
            <w:tcBorders>
              <w:bottom w:val="single" w:sz="4" w:space="0" w:color="000000"/>
              <w:right w:val="single" w:sz="4" w:space="0" w:color="000000"/>
            </w:tcBorders>
            <w:shd w:val="clear" w:color="auto" w:fill="FFFFFF"/>
            <w:vAlign w:val="bottom"/>
          </w:tcPr>
          <w:p w14:paraId="50E5FE3A"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1,172</w:t>
            </w:r>
          </w:p>
        </w:tc>
        <w:tc>
          <w:tcPr>
            <w:tcW w:w="747" w:type="dxa"/>
            <w:tcBorders>
              <w:bottom w:val="single" w:sz="4" w:space="0" w:color="000000"/>
              <w:right w:val="single" w:sz="4" w:space="0" w:color="000000"/>
            </w:tcBorders>
            <w:shd w:val="clear" w:color="auto" w:fill="FFFFFF"/>
            <w:vAlign w:val="bottom"/>
          </w:tcPr>
          <w:p w14:paraId="2256D88E" w14:textId="1A535592" w:rsidR="00F27423" w:rsidRPr="00915B33" w:rsidRDefault="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1,14</w:t>
            </w:r>
          </w:p>
        </w:tc>
        <w:tc>
          <w:tcPr>
            <w:tcW w:w="747" w:type="dxa"/>
            <w:tcBorders>
              <w:bottom w:val="single" w:sz="4" w:space="0" w:color="000000"/>
              <w:right w:val="single" w:sz="4" w:space="0" w:color="000000"/>
            </w:tcBorders>
            <w:shd w:val="clear" w:color="auto" w:fill="FFFFFF"/>
            <w:vAlign w:val="bottom"/>
          </w:tcPr>
          <w:p w14:paraId="78BE7F1F" w14:textId="5906E534" w:rsidR="00F27423" w:rsidRPr="00915B33" w:rsidRDefault="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w:t>
            </w:r>
            <w:r w:rsidR="00F27423" w:rsidRPr="00915B33">
              <w:rPr>
                <w:rFonts w:ascii="Times New Roman" w:eastAsia="Times New Roman" w:hAnsi="Times New Roman" w:cs="Times New Roman"/>
                <w:color w:val="000000" w:themeColor="text1"/>
                <w:lang w:eastAsia="fr-FR"/>
              </w:rPr>
              <w:t>,</w:t>
            </w:r>
            <w:r w:rsidRPr="00915B33">
              <w:rPr>
                <w:rFonts w:ascii="Times New Roman" w:eastAsia="Times New Roman" w:hAnsi="Times New Roman" w:cs="Times New Roman"/>
                <w:color w:val="000000" w:themeColor="text1"/>
                <w:lang w:eastAsia="fr-FR"/>
              </w:rPr>
              <w:t>18</w:t>
            </w:r>
          </w:p>
        </w:tc>
        <w:tc>
          <w:tcPr>
            <w:tcW w:w="761" w:type="dxa"/>
            <w:tcBorders>
              <w:bottom w:val="single" w:sz="4" w:space="0" w:color="000000"/>
              <w:right w:val="single" w:sz="4" w:space="0" w:color="000000"/>
            </w:tcBorders>
            <w:shd w:val="clear" w:color="auto" w:fill="FFFFFF"/>
            <w:vAlign w:val="bottom"/>
          </w:tcPr>
          <w:p w14:paraId="3F1FC9AA" w14:textId="7E126424" w:rsidR="00F27423" w:rsidRPr="00915B33" w:rsidRDefault="00ED475F">
            <w:pPr>
              <w:spacing w:line="240" w:lineRule="auto"/>
              <w:jc w:val="both"/>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1</w:t>
            </w:r>
            <w:r w:rsidR="00F27423" w:rsidRPr="00915B33">
              <w:rPr>
                <w:rFonts w:ascii="Times New Roman" w:eastAsia="Times New Roman" w:hAnsi="Times New Roman" w:cs="Times New Roman"/>
                <w:color w:val="000000" w:themeColor="text1"/>
                <w:lang w:eastAsia="fr-FR"/>
              </w:rPr>
              <w:t>,2</w:t>
            </w:r>
            <w:r w:rsidRPr="00915B33">
              <w:rPr>
                <w:rFonts w:ascii="Times New Roman" w:eastAsia="Times New Roman" w:hAnsi="Times New Roman" w:cs="Times New Roman"/>
                <w:color w:val="000000" w:themeColor="text1"/>
                <w:lang w:eastAsia="fr-FR"/>
              </w:rPr>
              <w:t>1</w:t>
            </w:r>
          </w:p>
        </w:tc>
      </w:tr>
      <w:tr w:rsidR="00915B33" w:rsidRPr="00915B33" w14:paraId="5C6644C3" w14:textId="77777777" w:rsidTr="00AB1B0D">
        <w:trPr>
          <w:trHeight w:val="253"/>
          <w:jc w:val="center"/>
        </w:trPr>
        <w:tc>
          <w:tcPr>
            <w:tcW w:w="1484" w:type="dxa"/>
            <w:tcBorders>
              <w:left w:val="single" w:sz="4" w:space="0" w:color="000000"/>
              <w:bottom w:val="single" w:sz="4" w:space="0" w:color="000000"/>
              <w:right w:val="single" w:sz="4" w:space="0" w:color="000000"/>
            </w:tcBorders>
            <w:shd w:val="clear" w:color="auto" w:fill="FFFFFF"/>
            <w:vAlign w:val="bottom"/>
          </w:tcPr>
          <w:p w14:paraId="24FB4B6E"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Importation</w:t>
            </w:r>
          </w:p>
          <w:p w14:paraId="57898B0F"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huile_Gg</w:t>
            </w:r>
          </w:p>
        </w:tc>
        <w:tc>
          <w:tcPr>
            <w:tcW w:w="670" w:type="dxa"/>
            <w:tcBorders>
              <w:bottom w:val="single" w:sz="4" w:space="0" w:color="000000"/>
              <w:right w:val="single" w:sz="4" w:space="0" w:color="000000"/>
            </w:tcBorders>
            <w:shd w:val="clear" w:color="auto" w:fill="FFFFFF"/>
            <w:vAlign w:val="bottom"/>
          </w:tcPr>
          <w:p w14:paraId="52A89EF5"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6,813</w:t>
            </w:r>
          </w:p>
        </w:tc>
        <w:tc>
          <w:tcPr>
            <w:tcW w:w="670" w:type="dxa"/>
            <w:tcBorders>
              <w:bottom w:val="single" w:sz="4" w:space="0" w:color="000000"/>
              <w:right w:val="single" w:sz="4" w:space="0" w:color="000000"/>
            </w:tcBorders>
            <w:shd w:val="clear" w:color="auto" w:fill="FFFFFF"/>
            <w:vAlign w:val="bottom"/>
          </w:tcPr>
          <w:p w14:paraId="29E6F50C"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7,424</w:t>
            </w:r>
          </w:p>
        </w:tc>
        <w:tc>
          <w:tcPr>
            <w:tcW w:w="670" w:type="dxa"/>
            <w:tcBorders>
              <w:bottom w:val="single" w:sz="4" w:space="0" w:color="000000"/>
              <w:right w:val="single" w:sz="4" w:space="0" w:color="000000"/>
            </w:tcBorders>
            <w:shd w:val="clear" w:color="auto" w:fill="FFFFFF"/>
            <w:vAlign w:val="bottom"/>
          </w:tcPr>
          <w:p w14:paraId="1C53913F"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6,223</w:t>
            </w:r>
          </w:p>
        </w:tc>
        <w:tc>
          <w:tcPr>
            <w:tcW w:w="670" w:type="dxa"/>
            <w:tcBorders>
              <w:bottom w:val="single" w:sz="4" w:space="0" w:color="000000"/>
              <w:right w:val="single" w:sz="4" w:space="0" w:color="000000"/>
            </w:tcBorders>
            <w:shd w:val="clear" w:color="auto" w:fill="FFFFFF"/>
            <w:vAlign w:val="bottom"/>
          </w:tcPr>
          <w:p w14:paraId="4CF7E717"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7,031</w:t>
            </w:r>
          </w:p>
        </w:tc>
        <w:tc>
          <w:tcPr>
            <w:tcW w:w="670" w:type="dxa"/>
            <w:tcBorders>
              <w:bottom w:val="single" w:sz="4" w:space="0" w:color="000000"/>
              <w:right w:val="single" w:sz="4" w:space="0" w:color="000000"/>
            </w:tcBorders>
            <w:shd w:val="clear" w:color="auto" w:fill="FFFFFF"/>
            <w:vAlign w:val="bottom"/>
          </w:tcPr>
          <w:p w14:paraId="5D6948F3"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10,51</w:t>
            </w:r>
          </w:p>
        </w:tc>
        <w:tc>
          <w:tcPr>
            <w:tcW w:w="670" w:type="dxa"/>
            <w:tcBorders>
              <w:bottom w:val="single" w:sz="4" w:space="0" w:color="000000"/>
              <w:right w:val="single" w:sz="4" w:space="0" w:color="000000"/>
            </w:tcBorders>
            <w:shd w:val="clear" w:color="auto" w:fill="FFFFFF"/>
            <w:vAlign w:val="bottom"/>
          </w:tcPr>
          <w:p w14:paraId="2B208C30"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8,8</w:t>
            </w:r>
          </w:p>
        </w:tc>
        <w:tc>
          <w:tcPr>
            <w:tcW w:w="670" w:type="dxa"/>
            <w:tcBorders>
              <w:bottom w:val="single" w:sz="4" w:space="0" w:color="000000"/>
              <w:right w:val="single" w:sz="4" w:space="0" w:color="000000"/>
            </w:tcBorders>
            <w:shd w:val="clear" w:color="auto" w:fill="FFFFFF"/>
            <w:vAlign w:val="bottom"/>
          </w:tcPr>
          <w:p w14:paraId="1AAED539"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10,3</w:t>
            </w:r>
          </w:p>
        </w:tc>
        <w:tc>
          <w:tcPr>
            <w:tcW w:w="670" w:type="dxa"/>
            <w:tcBorders>
              <w:bottom w:val="single" w:sz="4" w:space="0" w:color="000000"/>
              <w:right w:val="single" w:sz="4" w:space="0" w:color="000000"/>
            </w:tcBorders>
            <w:shd w:val="clear" w:color="auto" w:fill="FFFFFF"/>
            <w:vAlign w:val="bottom"/>
          </w:tcPr>
          <w:p w14:paraId="40369FA2"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9,414</w:t>
            </w:r>
          </w:p>
        </w:tc>
        <w:tc>
          <w:tcPr>
            <w:tcW w:w="670" w:type="dxa"/>
            <w:tcBorders>
              <w:bottom w:val="single" w:sz="4" w:space="0" w:color="000000"/>
              <w:right w:val="single" w:sz="4" w:space="0" w:color="000000"/>
            </w:tcBorders>
            <w:shd w:val="clear" w:color="auto" w:fill="FFFFFF"/>
            <w:vAlign w:val="bottom"/>
          </w:tcPr>
          <w:p w14:paraId="0A96DEF9"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10,64</w:t>
            </w:r>
          </w:p>
        </w:tc>
        <w:tc>
          <w:tcPr>
            <w:tcW w:w="670" w:type="dxa"/>
            <w:tcBorders>
              <w:bottom w:val="single" w:sz="4" w:space="0" w:color="000000"/>
              <w:right w:val="single" w:sz="4" w:space="0" w:color="000000"/>
            </w:tcBorders>
            <w:shd w:val="clear" w:color="auto" w:fill="FFFFFF"/>
            <w:vAlign w:val="bottom"/>
          </w:tcPr>
          <w:p w14:paraId="58F4B71E"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11,21</w:t>
            </w:r>
          </w:p>
        </w:tc>
        <w:tc>
          <w:tcPr>
            <w:tcW w:w="747" w:type="dxa"/>
            <w:tcBorders>
              <w:bottom w:val="single" w:sz="4" w:space="0" w:color="000000"/>
              <w:right w:val="single" w:sz="4" w:space="0" w:color="000000"/>
            </w:tcBorders>
            <w:shd w:val="clear" w:color="auto" w:fill="FFFFFF"/>
            <w:vAlign w:val="bottom"/>
          </w:tcPr>
          <w:p w14:paraId="3F21F0BC" w14:textId="4C0947B2"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w:t>
            </w:r>
            <w:r w:rsidR="003826F7" w:rsidRPr="00915B33">
              <w:rPr>
                <w:rFonts w:ascii="Times New Roman" w:eastAsia="Times New Roman" w:hAnsi="Times New Roman" w:cs="Times New Roman"/>
                <w:color w:val="000000" w:themeColor="text1"/>
                <w:lang w:eastAsia="fr-FR"/>
              </w:rPr>
              <w:t>0</w:t>
            </w:r>
            <w:r w:rsidRPr="00915B33">
              <w:rPr>
                <w:rFonts w:ascii="Times New Roman" w:eastAsia="Times New Roman" w:hAnsi="Times New Roman" w:cs="Times New Roman"/>
                <w:color w:val="000000" w:themeColor="text1"/>
                <w:lang w:eastAsia="fr-FR"/>
              </w:rPr>
              <w:t>,</w:t>
            </w:r>
            <w:r w:rsidR="003826F7" w:rsidRPr="00915B33">
              <w:rPr>
                <w:rFonts w:ascii="Times New Roman" w:eastAsia="Times New Roman" w:hAnsi="Times New Roman" w:cs="Times New Roman"/>
                <w:color w:val="000000" w:themeColor="text1"/>
                <w:lang w:eastAsia="fr-FR"/>
              </w:rPr>
              <w:t>4</w:t>
            </w:r>
            <w:r w:rsidRPr="00915B33">
              <w:rPr>
                <w:rFonts w:ascii="Times New Roman" w:eastAsia="Times New Roman" w:hAnsi="Times New Roman" w:cs="Times New Roman"/>
                <w:color w:val="000000" w:themeColor="text1"/>
                <w:lang w:eastAsia="fr-FR"/>
              </w:rPr>
              <w:t>7</w:t>
            </w:r>
          </w:p>
        </w:tc>
        <w:tc>
          <w:tcPr>
            <w:tcW w:w="747" w:type="dxa"/>
            <w:tcBorders>
              <w:bottom w:val="single" w:sz="4" w:space="0" w:color="000000"/>
              <w:right w:val="single" w:sz="4" w:space="0" w:color="000000"/>
            </w:tcBorders>
            <w:shd w:val="clear" w:color="auto" w:fill="FFFFFF"/>
            <w:vAlign w:val="bottom"/>
          </w:tcPr>
          <w:p w14:paraId="141D3949" w14:textId="6743B8C8"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w:t>
            </w:r>
            <w:r w:rsidR="003826F7" w:rsidRPr="00915B33">
              <w:rPr>
                <w:rFonts w:ascii="Times New Roman" w:eastAsia="Times New Roman" w:hAnsi="Times New Roman" w:cs="Times New Roman"/>
                <w:color w:val="000000" w:themeColor="text1"/>
                <w:lang w:eastAsia="fr-FR"/>
              </w:rPr>
              <w:t>0,80</w:t>
            </w:r>
          </w:p>
        </w:tc>
        <w:tc>
          <w:tcPr>
            <w:tcW w:w="761" w:type="dxa"/>
            <w:tcBorders>
              <w:bottom w:val="single" w:sz="4" w:space="0" w:color="000000"/>
              <w:right w:val="single" w:sz="4" w:space="0" w:color="000000"/>
            </w:tcBorders>
            <w:shd w:val="clear" w:color="auto" w:fill="FFFFFF"/>
            <w:vAlign w:val="bottom"/>
          </w:tcPr>
          <w:p w14:paraId="402B68F5" w14:textId="0B38AC38" w:rsidR="00F27423" w:rsidRPr="00915B33" w:rsidRDefault="00F27423">
            <w:pPr>
              <w:spacing w:line="240" w:lineRule="auto"/>
              <w:jc w:val="both"/>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1</w:t>
            </w:r>
            <w:r w:rsidR="003826F7" w:rsidRPr="00915B33">
              <w:rPr>
                <w:rFonts w:ascii="Times New Roman" w:eastAsia="Times New Roman" w:hAnsi="Times New Roman" w:cs="Times New Roman"/>
                <w:color w:val="000000" w:themeColor="text1"/>
                <w:lang w:eastAsia="fr-FR"/>
              </w:rPr>
              <w:t>1</w:t>
            </w:r>
            <w:r w:rsidRPr="00915B33">
              <w:rPr>
                <w:rFonts w:ascii="Times New Roman" w:eastAsia="Times New Roman" w:hAnsi="Times New Roman" w:cs="Times New Roman"/>
                <w:color w:val="000000" w:themeColor="text1"/>
                <w:lang w:eastAsia="fr-FR"/>
              </w:rPr>
              <w:t>,</w:t>
            </w:r>
            <w:r w:rsidR="003826F7" w:rsidRPr="00915B33">
              <w:rPr>
                <w:rFonts w:ascii="Times New Roman" w:eastAsia="Times New Roman" w:hAnsi="Times New Roman" w:cs="Times New Roman"/>
                <w:color w:val="000000" w:themeColor="text1"/>
                <w:lang w:eastAsia="fr-FR"/>
              </w:rPr>
              <w:t>15</w:t>
            </w:r>
          </w:p>
        </w:tc>
      </w:tr>
      <w:tr w:rsidR="00915B33" w:rsidRPr="00915B33" w14:paraId="5C14469D" w14:textId="77777777" w:rsidTr="00AB1B0D">
        <w:trPr>
          <w:trHeight w:val="253"/>
          <w:jc w:val="center"/>
        </w:trPr>
        <w:tc>
          <w:tcPr>
            <w:tcW w:w="1484" w:type="dxa"/>
            <w:tcBorders>
              <w:left w:val="single" w:sz="4" w:space="0" w:color="000000"/>
              <w:bottom w:val="single" w:sz="4" w:space="0" w:color="000000"/>
              <w:right w:val="single" w:sz="4" w:space="0" w:color="000000"/>
            </w:tcBorders>
            <w:shd w:val="clear" w:color="auto" w:fill="FFFFFF"/>
            <w:vAlign w:val="bottom"/>
          </w:tcPr>
          <w:p w14:paraId="5A68CACC"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 xml:space="preserve">Importation </w:t>
            </w:r>
          </w:p>
          <w:p w14:paraId="0138EBC6"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bitume_Gg</w:t>
            </w:r>
          </w:p>
        </w:tc>
        <w:tc>
          <w:tcPr>
            <w:tcW w:w="670" w:type="dxa"/>
            <w:tcBorders>
              <w:bottom w:val="single" w:sz="4" w:space="0" w:color="000000"/>
              <w:right w:val="single" w:sz="4" w:space="0" w:color="000000"/>
            </w:tcBorders>
            <w:shd w:val="clear" w:color="auto" w:fill="FFFFFF"/>
            <w:vAlign w:val="bottom"/>
          </w:tcPr>
          <w:p w14:paraId="7FB9C179"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0,46</w:t>
            </w:r>
          </w:p>
        </w:tc>
        <w:tc>
          <w:tcPr>
            <w:tcW w:w="670" w:type="dxa"/>
            <w:tcBorders>
              <w:bottom w:val="single" w:sz="4" w:space="0" w:color="000000"/>
              <w:right w:val="single" w:sz="4" w:space="0" w:color="000000"/>
            </w:tcBorders>
            <w:shd w:val="clear" w:color="auto" w:fill="FFFFFF"/>
            <w:vAlign w:val="bottom"/>
          </w:tcPr>
          <w:p w14:paraId="14404828"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2,72</w:t>
            </w:r>
          </w:p>
        </w:tc>
        <w:tc>
          <w:tcPr>
            <w:tcW w:w="670" w:type="dxa"/>
            <w:tcBorders>
              <w:bottom w:val="single" w:sz="4" w:space="0" w:color="000000"/>
              <w:right w:val="single" w:sz="4" w:space="0" w:color="000000"/>
            </w:tcBorders>
            <w:shd w:val="clear" w:color="auto" w:fill="FFFFFF"/>
            <w:vAlign w:val="bottom"/>
          </w:tcPr>
          <w:p w14:paraId="011CD5AA"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5,19</w:t>
            </w:r>
          </w:p>
        </w:tc>
        <w:tc>
          <w:tcPr>
            <w:tcW w:w="670" w:type="dxa"/>
            <w:tcBorders>
              <w:bottom w:val="single" w:sz="4" w:space="0" w:color="000000"/>
              <w:right w:val="single" w:sz="4" w:space="0" w:color="000000"/>
            </w:tcBorders>
            <w:shd w:val="clear" w:color="auto" w:fill="FFFFFF"/>
            <w:vAlign w:val="bottom"/>
          </w:tcPr>
          <w:p w14:paraId="4A3D97E6"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3,56</w:t>
            </w:r>
          </w:p>
        </w:tc>
        <w:tc>
          <w:tcPr>
            <w:tcW w:w="670" w:type="dxa"/>
            <w:tcBorders>
              <w:bottom w:val="single" w:sz="4" w:space="0" w:color="000000"/>
              <w:right w:val="single" w:sz="4" w:space="0" w:color="000000"/>
            </w:tcBorders>
            <w:shd w:val="clear" w:color="auto" w:fill="FFFFFF"/>
            <w:vAlign w:val="bottom"/>
          </w:tcPr>
          <w:p w14:paraId="37F934CA"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3,56</w:t>
            </w:r>
          </w:p>
        </w:tc>
        <w:tc>
          <w:tcPr>
            <w:tcW w:w="670" w:type="dxa"/>
            <w:tcBorders>
              <w:bottom w:val="single" w:sz="4" w:space="0" w:color="000000"/>
              <w:right w:val="single" w:sz="4" w:space="0" w:color="000000"/>
            </w:tcBorders>
            <w:shd w:val="clear" w:color="auto" w:fill="FFFFFF"/>
            <w:vAlign w:val="bottom"/>
          </w:tcPr>
          <w:p w14:paraId="6E6AED57"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3,34</w:t>
            </w:r>
          </w:p>
        </w:tc>
        <w:tc>
          <w:tcPr>
            <w:tcW w:w="670" w:type="dxa"/>
            <w:tcBorders>
              <w:bottom w:val="single" w:sz="4" w:space="0" w:color="000000"/>
              <w:right w:val="single" w:sz="4" w:space="0" w:color="000000"/>
            </w:tcBorders>
            <w:shd w:val="clear" w:color="auto" w:fill="FFFFFF"/>
            <w:vAlign w:val="bottom"/>
          </w:tcPr>
          <w:p w14:paraId="17201925"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6,96</w:t>
            </w:r>
          </w:p>
        </w:tc>
        <w:tc>
          <w:tcPr>
            <w:tcW w:w="670" w:type="dxa"/>
            <w:tcBorders>
              <w:bottom w:val="single" w:sz="4" w:space="0" w:color="000000"/>
              <w:right w:val="single" w:sz="4" w:space="0" w:color="000000"/>
            </w:tcBorders>
            <w:shd w:val="clear" w:color="auto" w:fill="FFFFFF"/>
            <w:vAlign w:val="bottom"/>
          </w:tcPr>
          <w:p w14:paraId="457161B4"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4,76</w:t>
            </w:r>
          </w:p>
        </w:tc>
        <w:tc>
          <w:tcPr>
            <w:tcW w:w="670" w:type="dxa"/>
            <w:tcBorders>
              <w:bottom w:val="single" w:sz="4" w:space="0" w:color="000000"/>
              <w:right w:val="single" w:sz="4" w:space="0" w:color="000000"/>
            </w:tcBorders>
            <w:shd w:val="clear" w:color="auto" w:fill="FFFFFF"/>
            <w:vAlign w:val="bottom"/>
          </w:tcPr>
          <w:p w14:paraId="29BE1840"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6,96</w:t>
            </w:r>
          </w:p>
        </w:tc>
        <w:tc>
          <w:tcPr>
            <w:tcW w:w="670" w:type="dxa"/>
            <w:tcBorders>
              <w:bottom w:val="single" w:sz="4" w:space="0" w:color="000000"/>
              <w:right w:val="single" w:sz="4" w:space="0" w:color="000000"/>
            </w:tcBorders>
            <w:shd w:val="clear" w:color="auto" w:fill="FFFFFF"/>
            <w:vAlign w:val="bottom"/>
          </w:tcPr>
          <w:p w14:paraId="7CB50B44"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4,76</w:t>
            </w:r>
          </w:p>
        </w:tc>
        <w:tc>
          <w:tcPr>
            <w:tcW w:w="747" w:type="dxa"/>
            <w:tcBorders>
              <w:bottom w:val="single" w:sz="4" w:space="0" w:color="000000"/>
              <w:right w:val="single" w:sz="4" w:space="0" w:color="000000"/>
            </w:tcBorders>
            <w:shd w:val="clear" w:color="auto" w:fill="FFFFFF"/>
            <w:vAlign w:val="bottom"/>
          </w:tcPr>
          <w:p w14:paraId="487E1C80"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17</w:t>
            </w:r>
          </w:p>
        </w:tc>
        <w:tc>
          <w:tcPr>
            <w:tcW w:w="747" w:type="dxa"/>
            <w:tcBorders>
              <w:bottom w:val="single" w:sz="4" w:space="0" w:color="000000"/>
              <w:right w:val="single" w:sz="4" w:space="0" w:color="000000"/>
            </w:tcBorders>
            <w:shd w:val="clear" w:color="auto" w:fill="FFFFFF"/>
            <w:vAlign w:val="bottom"/>
          </w:tcPr>
          <w:p w14:paraId="29182A73"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31,51</w:t>
            </w:r>
          </w:p>
        </w:tc>
        <w:tc>
          <w:tcPr>
            <w:tcW w:w="761" w:type="dxa"/>
            <w:tcBorders>
              <w:bottom w:val="single" w:sz="4" w:space="0" w:color="000000"/>
              <w:right w:val="single" w:sz="4" w:space="0" w:color="000000"/>
            </w:tcBorders>
            <w:shd w:val="clear" w:color="auto" w:fill="FFFFFF"/>
            <w:vAlign w:val="bottom"/>
          </w:tcPr>
          <w:p w14:paraId="1F21505A" w14:textId="77777777" w:rsidR="00F27423" w:rsidRPr="00915B33" w:rsidRDefault="00F27423">
            <w:pPr>
              <w:spacing w:line="240" w:lineRule="auto"/>
              <w:jc w:val="both"/>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27</w:t>
            </w:r>
          </w:p>
        </w:tc>
      </w:tr>
      <w:tr w:rsidR="00915B33" w:rsidRPr="00915B33" w14:paraId="5D96FE04" w14:textId="77777777" w:rsidTr="00F241CC">
        <w:trPr>
          <w:trHeight w:val="253"/>
          <w:jc w:val="center"/>
        </w:trPr>
        <w:tc>
          <w:tcPr>
            <w:tcW w:w="10439" w:type="dxa"/>
            <w:gridSpan w:val="14"/>
            <w:tcBorders>
              <w:left w:val="single" w:sz="4" w:space="0" w:color="000000"/>
              <w:bottom w:val="single" w:sz="4" w:space="0" w:color="000000"/>
              <w:right w:val="single" w:sz="4" w:space="0" w:color="000000"/>
            </w:tcBorders>
            <w:shd w:val="clear" w:color="auto" w:fill="808080" w:themeFill="background1" w:themeFillShade="80"/>
            <w:vAlign w:val="bottom"/>
          </w:tcPr>
          <w:p w14:paraId="10E5DE8A" w14:textId="77777777" w:rsidR="00AB1B0D" w:rsidRPr="00915B33" w:rsidRDefault="00AB1B0D">
            <w:pPr>
              <w:spacing w:line="240" w:lineRule="auto"/>
              <w:jc w:val="both"/>
              <w:rPr>
                <w:rFonts w:ascii="Times New Roman" w:eastAsia="Times New Roman" w:hAnsi="Times New Roman" w:cs="Times New Roman"/>
                <w:color w:val="000000" w:themeColor="text1"/>
                <w:lang w:eastAsia="fr-FR"/>
              </w:rPr>
            </w:pPr>
          </w:p>
        </w:tc>
      </w:tr>
      <w:tr w:rsidR="00915B33" w:rsidRPr="00915B33" w14:paraId="6DFF472C" w14:textId="77777777" w:rsidTr="00AB1B0D">
        <w:trPr>
          <w:trHeight w:val="253"/>
          <w:jc w:val="center"/>
        </w:trPr>
        <w:tc>
          <w:tcPr>
            <w:tcW w:w="1484" w:type="dxa"/>
            <w:tcBorders>
              <w:left w:val="single" w:sz="4" w:space="0" w:color="000000"/>
              <w:bottom w:val="single" w:sz="4" w:space="0" w:color="000000"/>
              <w:right w:val="single" w:sz="4" w:space="0" w:color="000000"/>
            </w:tcBorders>
            <w:shd w:val="clear" w:color="auto" w:fill="FFFFFF"/>
            <w:vAlign w:val="bottom"/>
          </w:tcPr>
          <w:p w14:paraId="049BCDE7" w14:textId="77777777" w:rsidR="00AB1B0D" w:rsidRPr="00915B33" w:rsidRDefault="00AB1B0D">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Années</w:t>
            </w:r>
          </w:p>
        </w:tc>
        <w:tc>
          <w:tcPr>
            <w:tcW w:w="670" w:type="dxa"/>
            <w:tcBorders>
              <w:bottom w:val="single" w:sz="4" w:space="0" w:color="000000"/>
              <w:right w:val="single" w:sz="4" w:space="0" w:color="000000"/>
            </w:tcBorders>
            <w:shd w:val="clear" w:color="auto" w:fill="FFFFFF"/>
            <w:vAlign w:val="bottom"/>
          </w:tcPr>
          <w:p w14:paraId="6836C05A" w14:textId="0F475F1E" w:rsidR="00AB1B0D" w:rsidRPr="00915B33" w:rsidRDefault="00AB1B0D">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201</w:t>
            </w:r>
            <w:r w:rsidR="003826F7" w:rsidRPr="00915B33">
              <w:rPr>
                <w:rFonts w:ascii="Times New Roman" w:eastAsia="Times New Roman" w:hAnsi="Times New Roman" w:cs="Times New Roman"/>
                <w:color w:val="000000" w:themeColor="text1"/>
                <w:lang w:eastAsia="fr-FR"/>
              </w:rPr>
              <w:t>6</w:t>
            </w:r>
          </w:p>
        </w:tc>
        <w:tc>
          <w:tcPr>
            <w:tcW w:w="670" w:type="dxa"/>
            <w:tcBorders>
              <w:bottom w:val="single" w:sz="4" w:space="0" w:color="000000"/>
              <w:right w:val="single" w:sz="4" w:space="0" w:color="000000"/>
            </w:tcBorders>
            <w:shd w:val="clear" w:color="auto" w:fill="FFFFFF"/>
            <w:vAlign w:val="bottom"/>
          </w:tcPr>
          <w:p w14:paraId="177E27B2" w14:textId="1BCE04AF" w:rsidR="00AB1B0D" w:rsidRPr="00915B33" w:rsidRDefault="00AB1B0D">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20</w:t>
            </w:r>
            <w:r w:rsidR="003826F7" w:rsidRPr="00915B33">
              <w:rPr>
                <w:rFonts w:ascii="Times New Roman" w:eastAsia="Times New Roman" w:hAnsi="Times New Roman" w:cs="Times New Roman"/>
                <w:color w:val="000000" w:themeColor="text1"/>
                <w:lang w:eastAsia="fr-FR"/>
              </w:rPr>
              <w:t>17</w:t>
            </w:r>
          </w:p>
        </w:tc>
        <w:tc>
          <w:tcPr>
            <w:tcW w:w="670" w:type="dxa"/>
            <w:tcBorders>
              <w:bottom w:val="single" w:sz="4" w:space="0" w:color="000000"/>
              <w:right w:val="single" w:sz="4" w:space="0" w:color="000000"/>
            </w:tcBorders>
            <w:shd w:val="clear" w:color="auto" w:fill="FFFFFF"/>
            <w:vAlign w:val="bottom"/>
          </w:tcPr>
          <w:p w14:paraId="5DC599D3" w14:textId="2B26E99A" w:rsidR="00AB1B0D" w:rsidRPr="00915B33" w:rsidRDefault="00AB1B0D">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201</w:t>
            </w:r>
            <w:r w:rsidR="003826F7" w:rsidRPr="00915B33">
              <w:rPr>
                <w:rFonts w:ascii="Times New Roman" w:eastAsia="Times New Roman" w:hAnsi="Times New Roman" w:cs="Times New Roman"/>
                <w:color w:val="000000" w:themeColor="text1"/>
                <w:lang w:eastAsia="fr-FR"/>
              </w:rPr>
              <w:t>8</w:t>
            </w:r>
          </w:p>
        </w:tc>
        <w:tc>
          <w:tcPr>
            <w:tcW w:w="670" w:type="dxa"/>
            <w:tcBorders>
              <w:bottom w:val="single" w:sz="4" w:space="0" w:color="000000"/>
              <w:right w:val="single" w:sz="4" w:space="0" w:color="000000"/>
            </w:tcBorders>
            <w:shd w:val="clear" w:color="auto" w:fill="FFFFFF"/>
            <w:vAlign w:val="bottom"/>
          </w:tcPr>
          <w:p w14:paraId="00AB1C68" w14:textId="75B220E5" w:rsidR="00AB1B0D" w:rsidRPr="00915B33" w:rsidRDefault="00AB1B0D">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20</w:t>
            </w:r>
            <w:r w:rsidR="003826F7" w:rsidRPr="00915B33">
              <w:rPr>
                <w:rFonts w:ascii="Times New Roman" w:eastAsia="Times New Roman" w:hAnsi="Times New Roman" w:cs="Times New Roman"/>
                <w:color w:val="000000" w:themeColor="text1"/>
                <w:lang w:eastAsia="fr-FR"/>
              </w:rPr>
              <w:t>19</w:t>
            </w:r>
          </w:p>
        </w:tc>
        <w:tc>
          <w:tcPr>
            <w:tcW w:w="670" w:type="dxa"/>
            <w:tcBorders>
              <w:bottom w:val="single" w:sz="4" w:space="0" w:color="000000"/>
              <w:right w:val="single" w:sz="4" w:space="0" w:color="000000"/>
            </w:tcBorders>
            <w:shd w:val="clear" w:color="auto" w:fill="FFFFFF"/>
            <w:vAlign w:val="bottom"/>
          </w:tcPr>
          <w:p w14:paraId="3F6D72B6" w14:textId="1D90494C" w:rsidR="00AB1B0D" w:rsidRPr="00915B33" w:rsidRDefault="003826F7">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2020</w:t>
            </w:r>
          </w:p>
        </w:tc>
        <w:tc>
          <w:tcPr>
            <w:tcW w:w="670" w:type="dxa"/>
            <w:tcBorders>
              <w:bottom w:val="single" w:sz="4" w:space="0" w:color="000000"/>
              <w:right w:val="single" w:sz="4" w:space="0" w:color="000000"/>
            </w:tcBorders>
            <w:shd w:val="clear" w:color="auto" w:fill="FFFFFF"/>
            <w:vAlign w:val="bottom"/>
          </w:tcPr>
          <w:p w14:paraId="64D67B0B" w14:textId="32A2B25A" w:rsidR="00AB1B0D" w:rsidRPr="00915B33" w:rsidRDefault="003826F7">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2021</w:t>
            </w:r>
          </w:p>
        </w:tc>
        <w:tc>
          <w:tcPr>
            <w:tcW w:w="670" w:type="dxa"/>
            <w:tcBorders>
              <w:bottom w:val="single" w:sz="4" w:space="0" w:color="000000"/>
              <w:right w:val="single" w:sz="4" w:space="0" w:color="000000"/>
            </w:tcBorders>
            <w:shd w:val="clear" w:color="auto" w:fill="FFFFFF"/>
            <w:vAlign w:val="bottom"/>
          </w:tcPr>
          <w:p w14:paraId="133B52E1" w14:textId="13A8DB5E" w:rsidR="00AB1B0D" w:rsidRPr="00915B33" w:rsidRDefault="003826F7">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2022</w:t>
            </w:r>
          </w:p>
        </w:tc>
        <w:tc>
          <w:tcPr>
            <w:tcW w:w="670" w:type="dxa"/>
            <w:tcBorders>
              <w:bottom w:val="single" w:sz="4" w:space="0" w:color="000000"/>
              <w:right w:val="single" w:sz="4" w:space="0" w:color="000000"/>
            </w:tcBorders>
            <w:shd w:val="clear" w:color="auto" w:fill="FFFFFF"/>
            <w:vAlign w:val="bottom"/>
          </w:tcPr>
          <w:p w14:paraId="65E73B35" w14:textId="77777777" w:rsidR="00AB1B0D" w:rsidRPr="00915B33" w:rsidRDefault="00AB1B0D">
            <w:pPr>
              <w:spacing w:line="240" w:lineRule="auto"/>
              <w:jc w:val="both"/>
              <w:rPr>
                <w:rFonts w:ascii="Times New Roman" w:eastAsia="Times New Roman" w:hAnsi="Times New Roman" w:cs="Times New Roman"/>
                <w:color w:val="000000" w:themeColor="text1"/>
                <w:lang w:eastAsia="fr-FR"/>
              </w:rPr>
            </w:pPr>
          </w:p>
        </w:tc>
        <w:tc>
          <w:tcPr>
            <w:tcW w:w="670" w:type="dxa"/>
            <w:tcBorders>
              <w:bottom w:val="single" w:sz="4" w:space="0" w:color="000000"/>
              <w:right w:val="single" w:sz="4" w:space="0" w:color="000000"/>
            </w:tcBorders>
            <w:shd w:val="clear" w:color="auto" w:fill="FFFFFF"/>
            <w:vAlign w:val="bottom"/>
          </w:tcPr>
          <w:p w14:paraId="72D7464E" w14:textId="77777777" w:rsidR="00AB1B0D" w:rsidRPr="00915B33" w:rsidRDefault="00AB1B0D">
            <w:pPr>
              <w:spacing w:line="240" w:lineRule="auto"/>
              <w:jc w:val="both"/>
              <w:rPr>
                <w:rFonts w:ascii="Times New Roman" w:eastAsia="Times New Roman" w:hAnsi="Times New Roman" w:cs="Times New Roman"/>
                <w:color w:val="000000" w:themeColor="text1"/>
                <w:lang w:eastAsia="fr-FR"/>
              </w:rPr>
            </w:pPr>
          </w:p>
        </w:tc>
        <w:tc>
          <w:tcPr>
            <w:tcW w:w="670" w:type="dxa"/>
            <w:tcBorders>
              <w:bottom w:val="single" w:sz="4" w:space="0" w:color="000000"/>
              <w:right w:val="single" w:sz="4" w:space="0" w:color="000000"/>
            </w:tcBorders>
            <w:shd w:val="clear" w:color="auto" w:fill="FFFFFF"/>
            <w:vAlign w:val="bottom"/>
          </w:tcPr>
          <w:p w14:paraId="47B1074F" w14:textId="77777777" w:rsidR="00AB1B0D" w:rsidRPr="00915B33" w:rsidRDefault="00AB1B0D">
            <w:pPr>
              <w:spacing w:line="240" w:lineRule="auto"/>
              <w:jc w:val="both"/>
              <w:rPr>
                <w:rFonts w:ascii="Times New Roman" w:eastAsia="Times New Roman" w:hAnsi="Times New Roman" w:cs="Times New Roman"/>
                <w:color w:val="000000" w:themeColor="text1"/>
                <w:lang w:eastAsia="fr-FR"/>
              </w:rPr>
            </w:pPr>
          </w:p>
        </w:tc>
        <w:tc>
          <w:tcPr>
            <w:tcW w:w="747" w:type="dxa"/>
            <w:tcBorders>
              <w:bottom w:val="single" w:sz="4" w:space="0" w:color="000000"/>
              <w:right w:val="single" w:sz="4" w:space="0" w:color="000000"/>
            </w:tcBorders>
            <w:shd w:val="clear" w:color="auto" w:fill="FFFFFF"/>
            <w:vAlign w:val="bottom"/>
          </w:tcPr>
          <w:p w14:paraId="6D724DF8" w14:textId="77777777" w:rsidR="00AB1B0D" w:rsidRPr="00915B33" w:rsidRDefault="00AB1B0D">
            <w:pPr>
              <w:spacing w:line="240" w:lineRule="auto"/>
              <w:jc w:val="both"/>
              <w:rPr>
                <w:rFonts w:ascii="Times New Roman" w:eastAsia="Times New Roman" w:hAnsi="Times New Roman" w:cs="Times New Roman"/>
                <w:color w:val="000000" w:themeColor="text1"/>
                <w:lang w:eastAsia="fr-FR"/>
              </w:rPr>
            </w:pPr>
          </w:p>
        </w:tc>
        <w:tc>
          <w:tcPr>
            <w:tcW w:w="747" w:type="dxa"/>
            <w:tcBorders>
              <w:bottom w:val="single" w:sz="4" w:space="0" w:color="000000"/>
              <w:right w:val="single" w:sz="4" w:space="0" w:color="000000"/>
            </w:tcBorders>
            <w:shd w:val="clear" w:color="auto" w:fill="FFFFFF"/>
            <w:vAlign w:val="bottom"/>
          </w:tcPr>
          <w:p w14:paraId="55260EFD" w14:textId="77777777" w:rsidR="00AB1B0D" w:rsidRPr="00915B33" w:rsidRDefault="00AB1B0D">
            <w:pPr>
              <w:spacing w:line="240" w:lineRule="auto"/>
              <w:jc w:val="both"/>
              <w:rPr>
                <w:rFonts w:ascii="Times New Roman" w:eastAsia="Times New Roman" w:hAnsi="Times New Roman" w:cs="Times New Roman"/>
                <w:color w:val="000000" w:themeColor="text1"/>
                <w:lang w:eastAsia="fr-FR"/>
              </w:rPr>
            </w:pPr>
          </w:p>
        </w:tc>
        <w:tc>
          <w:tcPr>
            <w:tcW w:w="761" w:type="dxa"/>
            <w:tcBorders>
              <w:bottom w:val="single" w:sz="4" w:space="0" w:color="000000"/>
              <w:right w:val="single" w:sz="4" w:space="0" w:color="000000"/>
            </w:tcBorders>
            <w:shd w:val="clear" w:color="auto" w:fill="FFFFFF"/>
            <w:vAlign w:val="bottom"/>
          </w:tcPr>
          <w:p w14:paraId="3019EF54" w14:textId="77777777" w:rsidR="00AB1B0D" w:rsidRPr="00915B33" w:rsidRDefault="00AB1B0D">
            <w:pPr>
              <w:spacing w:line="240" w:lineRule="auto"/>
              <w:jc w:val="both"/>
              <w:rPr>
                <w:rFonts w:ascii="Times New Roman" w:eastAsia="Times New Roman" w:hAnsi="Times New Roman" w:cs="Times New Roman"/>
                <w:color w:val="000000" w:themeColor="text1"/>
                <w:lang w:eastAsia="fr-FR"/>
              </w:rPr>
            </w:pPr>
          </w:p>
        </w:tc>
      </w:tr>
      <w:tr w:rsidR="00915B33" w:rsidRPr="00915B33" w14:paraId="67874CEE" w14:textId="77777777" w:rsidTr="00AB1B0D">
        <w:trPr>
          <w:trHeight w:val="253"/>
          <w:jc w:val="center"/>
        </w:trPr>
        <w:tc>
          <w:tcPr>
            <w:tcW w:w="1484" w:type="dxa"/>
            <w:tcBorders>
              <w:left w:val="single" w:sz="4" w:space="0" w:color="000000"/>
              <w:bottom w:val="single" w:sz="4" w:space="0" w:color="000000"/>
              <w:right w:val="single" w:sz="4" w:space="0" w:color="000000"/>
            </w:tcBorders>
            <w:shd w:val="clear" w:color="auto" w:fill="FFFFFF"/>
            <w:vAlign w:val="bottom"/>
          </w:tcPr>
          <w:p w14:paraId="755A6522" w14:textId="77777777" w:rsidR="00AB1B0D" w:rsidRPr="00915B33" w:rsidRDefault="00AB1B0D" w:rsidP="00AB1B0D">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Importation</w:t>
            </w:r>
          </w:p>
          <w:p w14:paraId="27E6B6D3" w14:textId="77777777" w:rsidR="00AB1B0D" w:rsidRPr="00915B33" w:rsidRDefault="00AB1B0D" w:rsidP="00AB1B0D">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Graisse_Gg</w:t>
            </w:r>
          </w:p>
        </w:tc>
        <w:tc>
          <w:tcPr>
            <w:tcW w:w="670" w:type="dxa"/>
            <w:tcBorders>
              <w:bottom w:val="single" w:sz="4" w:space="0" w:color="000000"/>
              <w:right w:val="single" w:sz="4" w:space="0" w:color="000000"/>
            </w:tcBorders>
            <w:shd w:val="clear" w:color="auto" w:fill="FFFFFF"/>
            <w:vAlign w:val="bottom"/>
          </w:tcPr>
          <w:p w14:paraId="59007EAA" w14:textId="53D6315B" w:rsidR="00AB1B0D" w:rsidRPr="00915B33" w:rsidRDefault="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1,25</w:t>
            </w:r>
          </w:p>
        </w:tc>
        <w:tc>
          <w:tcPr>
            <w:tcW w:w="670" w:type="dxa"/>
            <w:tcBorders>
              <w:bottom w:val="single" w:sz="4" w:space="0" w:color="000000"/>
              <w:right w:val="single" w:sz="4" w:space="0" w:color="000000"/>
            </w:tcBorders>
            <w:shd w:val="clear" w:color="auto" w:fill="FFFFFF"/>
            <w:vAlign w:val="bottom"/>
          </w:tcPr>
          <w:p w14:paraId="03081A93" w14:textId="7904033A" w:rsidR="00AB1B0D" w:rsidRPr="00915B33" w:rsidRDefault="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1,30</w:t>
            </w:r>
          </w:p>
        </w:tc>
        <w:tc>
          <w:tcPr>
            <w:tcW w:w="670" w:type="dxa"/>
            <w:tcBorders>
              <w:bottom w:val="single" w:sz="4" w:space="0" w:color="000000"/>
              <w:right w:val="single" w:sz="4" w:space="0" w:color="000000"/>
            </w:tcBorders>
            <w:shd w:val="clear" w:color="auto" w:fill="FFFFFF"/>
            <w:vAlign w:val="bottom"/>
          </w:tcPr>
          <w:p w14:paraId="68F03292" w14:textId="2374EBA8" w:rsidR="00AB1B0D" w:rsidRPr="00915B33" w:rsidRDefault="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1,35</w:t>
            </w:r>
          </w:p>
        </w:tc>
        <w:tc>
          <w:tcPr>
            <w:tcW w:w="670" w:type="dxa"/>
            <w:tcBorders>
              <w:bottom w:val="single" w:sz="4" w:space="0" w:color="000000"/>
              <w:right w:val="single" w:sz="4" w:space="0" w:color="000000"/>
            </w:tcBorders>
            <w:shd w:val="clear" w:color="auto" w:fill="FFFFFF"/>
            <w:vAlign w:val="bottom"/>
          </w:tcPr>
          <w:p w14:paraId="61D0FB95" w14:textId="63983768" w:rsidR="00AB1B0D" w:rsidRPr="00915B33" w:rsidRDefault="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1,40</w:t>
            </w:r>
          </w:p>
        </w:tc>
        <w:tc>
          <w:tcPr>
            <w:tcW w:w="670" w:type="dxa"/>
            <w:tcBorders>
              <w:bottom w:val="single" w:sz="4" w:space="0" w:color="000000"/>
              <w:right w:val="single" w:sz="4" w:space="0" w:color="000000"/>
            </w:tcBorders>
            <w:shd w:val="clear" w:color="auto" w:fill="FFFFFF"/>
            <w:vAlign w:val="bottom"/>
          </w:tcPr>
          <w:p w14:paraId="29506D3B" w14:textId="2784CA6C" w:rsidR="00AB1B0D" w:rsidRPr="00915B33" w:rsidRDefault="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1,44</w:t>
            </w:r>
          </w:p>
        </w:tc>
        <w:tc>
          <w:tcPr>
            <w:tcW w:w="670" w:type="dxa"/>
            <w:tcBorders>
              <w:bottom w:val="single" w:sz="4" w:space="0" w:color="000000"/>
              <w:right w:val="single" w:sz="4" w:space="0" w:color="000000"/>
            </w:tcBorders>
            <w:shd w:val="clear" w:color="auto" w:fill="FFFFFF"/>
            <w:vAlign w:val="bottom"/>
          </w:tcPr>
          <w:p w14:paraId="0D7B2BB5" w14:textId="7A073575" w:rsidR="00AB1B0D" w:rsidRPr="00915B33" w:rsidRDefault="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1,49</w:t>
            </w:r>
          </w:p>
        </w:tc>
        <w:tc>
          <w:tcPr>
            <w:tcW w:w="670" w:type="dxa"/>
            <w:tcBorders>
              <w:bottom w:val="single" w:sz="4" w:space="0" w:color="000000"/>
              <w:right w:val="single" w:sz="4" w:space="0" w:color="000000"/>
            </w:tcBorders>
            <w:shd w:val="clear" w:color="auto" w:fill="FFFFFF"/>
            <w:vAlign w:val="bottom"/>
          </w:tcPr>
          <w:p w14:paraId="494865DE" w14:textId="5ACABB79" w:rsidR="00AB1B0D" w:rsidRPr="00915B33" w:rsidRDefault="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1,52</w:t>
            </w:r>
          </w:p>
        </w:tc>
        <w:tc>
          <w:tcPr>
            <w:tcW w:w="670" w:type="dxa"/>
            <w:tcBorders>
              <w:bottom w:val="single" w:sz="4" w:space="0" w:color="000000"/>
              <w:right w:val="single" w:sz="4" w:space="0" w:color="000000"/>
            </w:tcBorders>
            <w:shd w:val="clear" w:color="auto" w:fill="FFFFFF"/>
            <w:vAlign w:val="bottom"/>
          </w:tcPr>
          <w:p w14:paraId="7978C871" w14:textId="77777777" w:rsidR="00AB1B0D" w:rsidRPr="00915B33" w:rsidRDefault="00AB1B0D">
            <w:pPr>
              <w:spacing w:line="240" w:lineRule="auto"/>
              <w:jc w:val="both"/>
              <w:rPr>
                <w:rFonts w:ascii="Times New Roman" w:eastAsia="Times New Roman" w:hAnsi="Times New Roman" w:cs="Times New Roman"/>
                <w:color w:val="000000" w:themeColor="text1"/>
                <w:lang w:eastAsia="fr-FR"/>
              </w:rPr>
            </w:pPr>
          </w:p>
        </w:tc>
        <w:tc>
          <w:tcPr>
            <w:tcW w:w="670" w:type="dxa"/>
            <w:tcBorders>
              <w:bottom w:val="single" w:sz="4" w:space="0" w:color="000000"/>
              <w:right w:val="single" w:sz="4" w:space="0" w:color="000000"/>
            </w:tcBorders>
            <w:shd w:val="clear" w:color="auto" w:fill="FFFFFF"/>
            <w:vAlign w:val="bottom"/>
          </w:tcPr>
          <w:p w14:paraId="29AE8C3E" w14:textId="77777777" w:rsidR="00AB1B0D" w:rsidRPr="00915B33" w:rsidRDefault="00AB1B0D">
            <w:pPr>
              <w:spacing w:line="240" w:lineRule="auto"/>
              <w:jc w:val="both"/>
              <w:rPr>
                <w:rFonts w:ascii="Times New Roman" w:eastAsia="Times New Roman" w:hAnsi="Times New Roman" w:cs="Times New Roman"/>
                <w:color w:val="000000" w:themeColor="text1"/>
                <w:lang w:eastAsia="fr-FR"/>
              </w:rPr>
            </w:pPr>
          </w:p>
        </w:tc>
        <w:tc>
          <w:tcPr>
            <w:tcW w:w="670" w:type="dxa"/>
            <w:tcBorders>
              <w:bottom w:val="single" w:sz="4" w:space="0" w:color="000000"/>
              <w:right w:val="single" w:sz="4" w:space="0" w:color="000000"/>
            </w:tcBorders>
            <w:shd w:val="clear" w:color="auto" w:fill="FFFFFF"/>
            <w:vAlign w:val="bottom"/>
          </w:tcPr>
          <w:p w14:paraId="2846DD4C" w14:textId="77777777" w:rsidR="00AB1B0D" w:rsidRPr="00915B33" w:rsidRDefault="00AB1B0D">
            <w:pPr>
              <w:spacing w:line="240" w:lineRule="auto"/>
              <w:jc w:val="both"/>
              <w:rPr>
                <w:rFonts w:ascii="Times New Roman" w:eastAsia="Times New Roman" w:hAnsi="Times New Roman" w:cs="Times New Roman"/>
                <w:color w:val="000000" w:themeColor="text1"/>
                <w:lang w:eastAsia="fr-FR"/>
              </w:rPr>
            </w:pPr>
          </w:p>
        </w:tc>
        <w:tc>
          <w:tcPr>
            <w:tcW w:w="747" w:type="dxa"/>
            <w:tcBorders>
              <w:bottom w:val="single" w:sz="4" w:space="0" w:color="000000"/>
              <w:right w:val="single" w:sz="4" w:space="0" w:color="000000"/>
            </w:tcBorders>
            <w:shd w:val="clear" w:color="auto" w:fill="FFFFFF"/>
            <w:vAlign w:val="bottom"/>
          </w:tcPr>
          <w:p w14:paraId="41A47DFB" w14:textId="77777777" w:rsidR="00AB1B0D" w:rsidRPr="00915B33" w:rsidRDefault="00AB1B0D">
            <w:pPr>
              <w:spacing w:line="240" w:lineRule="auto"/>
              <w:jc w:val="both"/>
              <w:rPr>
                <w:rFonts w:ascii="Times New Roman" w:eastAsia="Times New Roman" w:hAnsi="Times New Roman" w:cs="Times New Roman"/>
                <w:color w:val="000000" w:themeColor="text1"/>
                <w:lang w:eastAsia="fr-FR"/>
              </w:rPr>
            </w:pPr>
          </w:p>
        </w:tc>
        <w:tc>
          <w:tcPr>
            <w:tcW w:w="747" w:type="dxa"/>
            <w:tcBorders>
              <w:bottom w:val="single" w:sz="4" w:space="0" w:color="000000"/>
              <w:right w:val="single" w:sz="4" w:space="0" w:color="000000"/>
            </w:tcBorders>
            <w:shd w:val="clear" w:color="auto" w:fill="FFFFFF"/>
            <w:vAlign w:val="bottom"/>
          </w:tcPr>
          <w:p w14:paraId="5E81EA10" w14:textId="77777777" w:rsidR="00AB1B0D" w:rsidRPr="00915B33" w:rsidRDefault="00AB1B0D">
            <w:pPr>
              <w:spacing w:line="240" w:lineRule="auto"/>
              <w:jc w:val="both"/>
              <w:rPr>
                <w:rFonts w:ascii="Times New Roman" w:eastAsia="Times New Roman" w:hAnsi="Times New Roman" w:cs="Times New Roman"/>
                <w:color w:val="000000" w:themeColor="text1"/>
                <w:lang w:eastAsia="fr-FR"/>
              </w:rPr>
            </w:pPr>
          </w:p>
        </w:tc>
        <w:tc>
          <w:tcPr>
            <w:tcW w:w="761" w:type="dxa"/>
            <w:tcBorders>
              <w:bottom w:val="single" w:sz="4" w:space="0" w:color="000000"/>
              <w:right w:val="single" w:sz="4" w:space="0" w:color="000000"/>
            </w:tcBorders>
            <w:shd w:val="clear" w:color="auto" w:fill="FFFFFF"/>
            <w:vAlign w:val="bottom"/>
          </w:tcPr>
          <w:p w14:paraId="38FD4686" w14:textId="77777777" w:rsidR="00AB1B0D" w:rsidRPr="00915B33" w:rsidRDefault="00AB1B0D">
            <w:pPr>
              <w:spacing w:line="240" w:lineRule="auto"/>
              <w:jc w:val="both"/>
              <w:rPr>
                <w:rFonts w:ascii="Times New Roman" w:eastAsia="Times New Roman" w:hAnsi="Times New Roman" w:cs="Times New Roman"/>
                <w:color w:val="000000" w:themeColor="text1"/>
                <w:lang w:eastAsia="fr-FR"/>
              </w:rPr>
            </w:pPr>
          </w:p>
        </w:tc>
      </w:tr>
      <w:tr w:rsidR="00915B33" w:rsidRPr="00915B33" w14:paraId="212A36C0" w14:textId="77777777" w:rsidTr="00AB1B0D">
        <w:trPr>
          <w:trHeight w:val="253"/>
          <w:jc w:val="center"/>
        </w:trPr>
        <w:tc>
          <w:tcPr>
            <w:tcW w:w="1484" w:type="dxa"/>
            <w:tcBorders>
              <w:left w:val="single" w:sz="4" w:space="0" w:color="000000"/>
              <w:bottom w:val="single" w:sz="4" w:space="0" w:color="000000"/>
              <w:right w:val="single" w:sz="4" w:space="0" w:color="000000"/>
            </w:tcBorders>
            <w:shd w:val="clear" w:color="auto" w:fill="FFFFFF"/>
            <w:vAlign w:val="bottom"/>
          </w:tcPr>
          <w:p w14:paraId="4C9F46E3" w14:textId="77777777"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Importation</w:t>
            </w:r>
          </w:p>
          <w:p w14:paraId="156F590B" w14:textId="77777777"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huile_Gg</w:t>
            </w:r>
          </w:p>
        </w:tc>
        <w:tc>
          <w:tcPr>
            <w:tcW w:w="670" w:type="dxa"/>
            <w:tcBorders>
              <w:bottom w:val="single" w:sz="4" w:space="0" w:color="000000"/>
              <w:right w:val="single" w:sz="4" w:space="0" w:color="000000"/>
            </w:tcBorders>
            <w:shd w:val="clear" w:color="auto" w:fill="FFFFFF"/>
            <w:vAlign w:val="bottom"/>
          </w:tcPr>
          <w:p w14:paraId="6BB7C805" w14:textId="6BC2578C"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11,95</w:t>
            </w:r>
          </w:p>
        </w:tc>
        <w:tc>
          <w:tcPr>
            <w:tcW w:w="670" w:type="dxa"/>
            <w:tcBorders>
              <w:bottom w:val="single" w:sz="4" w:space="0" w:color="000000"/>
              <w:right w:val="single" w:sz="4" w:space="0" w:color="000000"/>
            </w:tcBorders>
            <w:shd w:val="clear" w:color="auto" w:fill="FFFFFF"/>
            <w:vAlign w:val="bottom"/>
          </w:tcPr>
          <w:p w14:paraId="04815D88" w14:textId="19A581C2"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12,45</w:t>
            </w:r>
          </w:p>
        </w:tc>
        <w:tc>
          <w:tcPr>
            <w:tcW w:w="670" w:type="dxa"/>
            <w:tcBorders>
              <w:bottom w:val="single" w:sz="4" w:space="0" w:color="000000"/>
              <w:right w:val="single" w:sz="4" w:space="0" w:color="000000"/>
            </w:tcBorders>
            <w:shd w:val="clear" w:color="auto" w:fill="FFFFFF"/>
            <w:vAlign w:val="bottom"/>
          </w:tcPr>
          <w:p w14:paraId="71EDEBAB" w14:textId="7D6FB887"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12,91</w:t>
            </w:r>
          </w:p>
        </w:tc>
        <w:tc>
          <w:tcPr>
            <w:tcW w:w="670" w:type="dxa"/>
            <w:tcBorders>
              <w:bottom w:val="single" w:sz="4" w:space="0" w:color="000000"/>
              <w:right w:val="single" w:sz="4" w:space="0" w:color="000000"/>
            </w:tcBorders>
            <w:shd w:val="clear" w:color="auto" w:fill="FFFFFF"/>
            <w:vAlign w:val="bottom"/>
          </w:tcPr>
          <w:p w14:paraId="4F76E0FA" w14:textId="42071711"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13.31</w:t>
            </w:r>
          </w:p>
        </w:tc>
        <w:tc>
          <w:tcPr>
            <w:tcW w:w="670" w:type="dxa"/>
            <w:tcBorders>
              <w:bottom w:val="single" w:sz="4" w:space="0" w:color="000000"/>
              <w:right w:val="single" w:sz="4" w:space="0" w:color="000000"/>
            </w:tcBorders>
            <w:shd w:val="clear" w:color="auto" w:fill="FFFFFF"/>
            <w:vAlign w:val="bottom"/>
          </w:tcPr>
          <w:p w14:paraId="1EA1B95A" w14:textId="250CC31D"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13,31</w:t>
            </w:r>
          </w:p>
        </w:tc>
        <w:tc>
          <w:tcPr>
            <w:tcW w:w="670" w:type="dxa"/>
            <w:tcBorders>
              <w:bottom w:val="single" w:sz="4" w:space="0" w:color="000000"/>
              <w:right w:val="single" w:sz="4" w:space="0" w:color="000000"/>
            </w:tcBorders>
            <w:shd w:val="clear" w:color="auto" w:fill="FFFFFF"/>
            <w:vAlign w:val="bottom"/>
          </w:tcPr>
          <w:p w14:paraId="3D508611" w14:textId="75A60480"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13,73</w:t>
            </w:r>
          </w:p>
        </w:tc>
        <w:tc>
          <w:tcPr>
            <w:tcW w:w="670" w:type="dxa"/>
            <w:tcBorders>
              <w:bottom w:val="single" w:sz="4" w:space="0" w:color="000000"/>
              <w:right w:val="single" w:sz="4" w:space="0" w:color="000000"/>
            </w:tcBorders>
            <w:shd w:val="clear" w:color="auto" w:fill="FFFFFF"/>
            <w:vAlign w:val="bottom"/>
          </w:tcPr>
          <w:p w14:paraId="553401E2" w14:textId="7D07A1F3"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14,09</w:t>
            </w:r>
          </w:p>
        </w:tc>
        <w:tc>
          <w:tcPr>
            <w:tcW w:w="670" w:type="dxa"/>
            <w:tcBorders>
              <w:bottom w:val="single" w:sz="4" w:space="0" w:color="000000"/>
              <w:right w:val="single" w:sz="4" w:space="0" w:color="000000"/>
            </w:tcBorders>
            <w:shd w:val="clear" w:color="auto" w:fill="FFFFFF"/>
            <w:vAlign w:val="bottom"/>
          </w:tcPr>
          <w:p w14:paraId="47390E6C" w14:textId="77777777"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p>
        </w:tc>
        <w:tc>
          <w:tcPr>
            <w:tcW w:w="670" w:type="dxa"/>
            <w:tcBorders>
              <w:bottom w:val="single" w:sz="4" w:space="0" w:color="000000"/>
              <w:right w:val="single" w:sz="4" w:space="0" w:color="000000"/>
            </w:tcBorders>
            <w:shd w:val="clear" w:color="auto" w:fill="FFFFFF"/>
            <w:vAlign w:val="bottom"/>
          </w:tcPr>
          <w:p w14:paraId="72EB1E79" w14:textId="77777777"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p>
        </w:tc>
        <w:tc>
          <w:tcPr>
            <w:tcW w:w="670" w:type="dxa"/>
            <w:tcBorders>
              <w:bottom w:val="single" w:sz="4" w:space="0" w:color="000000"/>
              <w:right w:val="single" w:sz="4" w:space="0" w:color="000000"/>
            </w:tcBorders>
            <w:shd w:val="clear" w:color="auto" w:fill="FFFFFF"/>
            <w:vAlign w:val="bottom"/>
          </w:tcPr>
          <w:p w14:paraId="40FCEE9C" w14:textId="77777777"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p>
        </w:tc>
        <w:tc>
          <w:tcPr>
            <w:tcW w:w="747" w:type="dxa"/>
            <w:tcBorders>
              <w:bottom w:val="single" w:sz="4" w:space="0" w:color="000000"/>
              <w:right w:val="single" w:sz="4" w:space="0" w:color="000000"/>
            </w:tcBorders>
            <w:shd w:val="clear" w:color="auto" w:fill="FFFFFF"/>
            <w:vAlign w:val="bottom"/>
          </w:tcPr>
          <w:p w14:paraId="425AAAD1" w14:textId="77777777"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p>
        </w:tc>
        <w:tc>
          <w:tcPr>
            <w:tcW w:w="747" w:type="dxa"/>
            <w:tcBorders>
              <w:bottom w:val="single" w:sz="4" w:space="0" w:color="000000"/>
              <w:right w:val="single" w:sz="4" w:space="0" w:color="000000"/>
            </w:tcBorders>
            <w:shd w:val="clear" w:color="auto" w:fill="FFFFFF"/>
            <w:vAlign w:val="bottom"/>
          </w:tcPr>
          <w:p w14:paraId="2B57ED18" w14:textId="77777777"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p>
        </w:tc>
        <w:tc>
          <w:tcPr>
            <w:tcW w:w="761" w:type="dxa"/>
            <w:tcBorders>
              <w:bottom w:val="single" w:sz="4" w:space="0" w:color="000000"/>
              <w:right w:val="single" w:sz="4" w:space="0" w:color="000000"/>
            </w:tcBorders>
            <w:shd w:val="clear" w:color="auto" w:fill="FFFFFF"/>
            <w:vAlign w:val="bottom"/>
          </w:tcPr>
          <w:p w14:paraId="672F6B09" w14:textId="77777777"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p>
        </w:tc>
      </w:tr>
      <w:tr w:rsidR="00915B33" w:rsidRPr="00915B33" w14:paraId="4C608F7B" w14:textId="77777777" w:rsidTr="00AB1B0D">
        <w:trPr>
          <w:trHeight w:val="253"/>
          <w:jc w:val="center"/>
        </w:trPr>
        <w:tc>
          <w:tcPr>
            <w:tcW w:w="1484" w:type="dxa"/>
            <w:tcBorders>
              <w:left w:val="single" w:sz="4" w:space="0" w:color="000000"/>
              <w:bottom w:val="single" w:sz="4" w:space="0" w:color="000000"/>
              <w:right w:val="single" w:sz="4" w:space="0" w:color="000000"/>
            </w:tcBorders>
            <w:shd w:val="clear" w:color="auto" w:fill="FFFFFF"/>
            <w:vAlign w:val="bottom"/>
          </w:tcPr>
          <w:p w14:paraId="6B832E9A" w14:textId="77777777"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 xml:space="preserve">Importation </w:t>
            </w:r>
          </w:p>
          <w:p w14:paraId="229FB565" w14:textId="77777777"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bitume_Gg</w:t>
            </w:r>
          </w:p>
        </w:tc>
        <w:tc>
          <w:tcPr>
            <w:tcW w:w="670" w:type="dxa"/>
            <w:tcBorders>
              <w:bottom w:val="single" w:sz="4" w:space="0" w:color="000000"/>
              <w:right w:val="single" w:sz="4" w:space="0" w:color="000000"/>
            </w:tcBorders>
            <w:shd w:val="clear" w:color="auto" w:fill="FFFFFF"/>
            <w:vAlign w:val="bottom"/>
          </w:tcPr>
          <w:p w14:paraId="63FEA973" w14:textId="5F2115E7" w:rsidR="00ED475F" w:rsidRPr="00915B33" w:rsidRDefault="00401785" w:rsidP="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ND</w:t>
            </w:r>
          </w:p>
        </w:tc>
        <w:tc>
          <w:tcPr>
            <w:tcW w:w="670" w:type="dxa"/>
            <w:tcBorders>
              <w:bottom w:val="single" w:sz="4" w:space="0" w:color="000000"/>
              <w:right w:val="single" w:sz="4" w:space="0" w:color="000000"/>
            </w:tcBorders>
            <w:shd w:val="clear" w:color="auto" w:fill="FFFFFF"/>
            <w:vAlign w:val="bottom"/>
          </w:tcPr>
          <w:p w14:paraId="3BB77EBD" w14:textId="1ABF0CB1" w:rsidR="00ED475F" w:rsidRPr="00915B33" w:rsidRDefault="00401785" w:rsidP="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ND</w:t>
            </w:r>
          </w:p>
        </w:tc>
        <w:tc>
          <w:tcPr>
            <w:tcW w:w="670" w:type="dxa"/>
            <w:tcBorders>
              <w:bottom w:val="single" w:sz="4" w:space="0" w:color="000000"/>
              <w:right w:val="single" w:sz="4" w:space="0" w:color="000000"/>
            </w:tcBorders>
            <w:shd w:val="clear" w:color="auto" w:fill="FFFFFF"/>
            <w:vAlign w:val="bottom"/>
          </w:tcPr>
          <w:p w14:paraId="0985E9F6" w14:textId="4CCDAD2B" w:rsidR="00ED475F" w:rsidRPr="00915B33" w:rsidRDefault="00401785" w:rsidP="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ND</w:t>
            </w:r>
          </w:p>
        </w:tc>
        <w:tc>
          <w:tcPr>
            <w:tcW w:w="670" w:type="dxa"/>
            <w:tcBorders>
              <w:bottom w:val="single" w:sz="4" w:space="0" w:color="000000"/>
              <w:right w:val="single" w:sz="4" w:space="0" w:color="000000"/>
            </w:tcBorders>
            <w:shd w:val="clear" w:color="auto" w:fill="FFFFFF"/>
            <w:vAlign w:val="bottom"/>
          </w:tcPr>
          <w:p w14:paraId="716D38EA" w14:textId="08C045CD" w:rsidR="00ED475F" w:rsidRPr="00915B33" w:rsidRDefault="00401785" w:rsidP="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ND</w:t>
            </w:r>
          </w:p>
        </w:tc>
        <w:tc>
          <w:tcPr>
            <w:tcW w:w="670" w:type="dxa"/>
            <w:tcBorders>
              <w:bottom w:val="single" w:sz="4" w:space="0" w:color="000000"/>
              <w:right w:val="single" w:sz="4" w:space="0" w:color="000000"/>
            </w:tcBorders>
            <w:shd w:val="clear" w:color="auto" w:fill="FFFFFF"/>
            <w:vAlign w:val="bottom"/>
          </w:tcPr>
          <w:p w14:paraId="062D4BD8" w14:textId="3744D905" w:rsidR="00ED475F" w:rsidRPr="00915B33" w:rsidRDefault="00401785" w:rsidP="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ND</w:t>
            </w:r>
          </w:p>
        </w:tc>
        <w:tc>
          <w:tcPr>
            <w:tcW w:w="670" w:type="dxa"/>
            <w:tcBorders>
              <w:bottom w:val="single" w:sz="4" w:space="0" w:color="000000"/>
              <w:right w:val="single" w:sz="4" w:space="0" w:color="000000"/>
            </w:tcBorders>
            <w:shd w:val="clear" w:color="auto" w:fill="FFFFFF"/>
            <w:vAlign w:val="bottom"/>
          </w:tcPr>
          <w:p w14:paraId="12C34110" w14:textId="15072996" w:rsidR="00ED475F" w:rsidRPr="00915B33" w:rsidRDefault="00401785" w:rsidP="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ND</w:t>
            </w:r>
          </w:p>
        </w:tc>
        <w:tc>
          <w:tcPr>
            <w:tcW w:w="670" w:type="dxa"/>
            <w:tcBorders>
              <w:bottom w:val="single" w:sz="4" w:space="0" w:color="000000"/>
              <w:right w:val="single" w:sz="4" w:space="0" w:color="000000"/>
            </w:tcBorders>
            <w:shd w:val="clear" w:color="auto" w:fill="FFFFFF"/>
            <w:vAlign w:val="bottom"/>
          </w:tcPr>
          <w:p w14:paraId="67A3C100" w14:textId="111B9653" w:rsidR="00ED475F" w:rsidRPr="00915B33" w:rsidRDefault="00401785" w:rsidP="00ED475F">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ND</w:t>
            </w:r>
          </w:p>
        </w:tc>
        <w:tc>
          <w:tcPr>
            <w:tcW w:w="670" w:type="dxa"/>
            <w:tcBorders>
              <w:bottom w:val="single" w:sz="4" w:space="0" w:color="000000"/>
              <w:right w:val="single" w:sz="4" w:space="0" w:color="000000"/>
            </w:tcBorders>
            <w:shd w:val="clear" w:color="auto" w:fill="FFFFFF"/>
            <w:vAlign w:val="bottom"/>
          </w:tcPr>
          <w:p w14:paraId="10301410" w14:textId="77777777"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p>
        </w:tc>
        <w:tc>
          <w:tcPr>
            <w:tcW w:w="670" w:type="dxa"/>
            <w:tcBorders>
              <w:bottom w:val="single" w:sz="4" w:space="0" w:color="000000"/>
              <w:right w:val="single" w:sz="4" w:space="0" w:color="000000"/>
            </w:tcBorders>
            <w:shd w:val="clear" w:color="auto" w:fill="FFFFFF"/>
            <w:vAlign w:val="bottom"/>
          </w:tcPr>
          <w:p w14:paraId="1F7E7558" w14:textId="77777777"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p>
        </w:tc>
        <w:tc>
          <w:tcPr>
            <w:tcW w:w="670" w:type="dxa"/>
            <w:tcBorders>
              <w:bottom w:val="single" w:sz="4" w:space="0" w:color="000000"/>
              <w:right w:val="single" w:sz="4" w:space="0" w:color="000000"/>
            </w:tcBorders>
            <w:shd w:val="clear" w:color="auto" w:fill="FFFFFF"/>
            <w:vAlign w:val="bottom"/>
          </w:tcPr>
          <w:p w14:paraId="5168680A" w14:textId="77777777"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p>
        </w:tc>
        <w:tc>
          <w:tcPr>
            <w:tcW w:w="747" w:type="dxa"/>
            <w:tcBorders>
              <w:bottom w:val="single" w:sz="4" w:space="0" w:color="000000"/>
              <w:right w:val="single" w:sz="4" w:space="0" w:color="000000"/>
            </w:tcBorders>
            <w:shd w:val="clear" w:color="auto" w:fill="FFFFFF"/>
            <w:vAlign w:val="bottom"/>
          </w:tcPr>
          <w:p w14:paraId="2D6C34E1" w14:textId="77777777"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p>
        </w:tc>
        <w:tc>
          <w:tcPr>
            <w:tcW w:w="747" w:type="dxa"/>
            <w:tcBorders>
              <w:bottom w:val="single" w:sz="4" w:space="0" w:color="000000"/>
              <w:right w:val="single" w:sz="4" w:space="0" w:color="000000"/>
            </w:tcBorders>
            <w:shd w:val="clear" w:color="auto" w:fill="FFFFFF"/>
            <w:vAlign w:val="bottom"/>
          </w:tcPr>
          <w:p w14:paraId="2B356F23" w14:textId="77777777"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p>
        </w:tc>
        <w:tc>
          <w:tcPr>
            <w:tcW w:w="761" w:type="dxa"/>
            <w:tcBorders>
              <w:bottom w:val="single" w:sz="4" w:space="0" w:color="000000"/>
              <w:right w:val="single" w:sz="4" w:space="0" w:color="000000"/>
            </w:tcBorders>
            <w:shd w:val="clear" w:color="auto" w:fill="FFFFFF"/>
            <w:vAlign w:val="bottom"/>
          </w:tcPr>
          <w:p w14:paraId="3BF54B8F" w14:textId="77777777" w:rsidR="00ED475F" w:rsidRPr="00915B33" w:rsidRDefault="00ED475F" w:rsidP="00ED475F">
            <w:pPr>
              <w:spacing w:line="240" w:lineRule="auto"/>
              <w:jc w:val="both"/>
              <w:rPr>
                <w:rFonts w:ascii="Times New Roman" w:eastAsia="Times New Roman" w:hAnsi="Times New Roman" w:cs="Times New Roman"/>
                <w:color w:val="000000" w:themeColor="text1"/>
                <w:lang w:eastAsia="fr-FR"/>
              </w:rPr>
            </w:pPr>
          </w:p>
        </w:tc>
      </w:tr>
    </w:tbl>
    <w:p w14:paraId="27F3C365" w14:textId="4D9BCDAF" w:rsidR="00B41364" w:rsidRPr="00915B33" w:rsidRDefault="00B41364" w:rsidP="00B41364">
      <w:pPr>
        <w:pStyle w:val="Soustitre"/>
        <w:numPr>
          <w:ilvl w:val="0"/>
          <w:numId w:val="0"/>
        </w:numPr>
        <w:ind w:left="720"/>
        <w:rPr>
          <w:b w:val="0"/>
          <w:color w:val="000000" w:themeColor="text1"/>
        </w:rPr>
      </w:pPr>
      <w:bookmarkStart w:id="36" w:name="_Toc489388302"/>
    </w:p>
    <w:p w14:paraId="6D2EA42A" w14:textId="315CC72F" w:rsidR="00B41364" w:rsidRPr="00915B33" w:rsidRDefault="00B41364" w:rsidP="00B41364">
      <w:pPr>
        <w:pStyle w:val="Soustitre"/>
        <w:numPr>
          <w:ilvl w:val="0"/>
          <w:numId w:val="0"/>
        </w:numPr>
        <w:ind w:left="720"/>
        <w:rPr>
          <w:b w:val="0"/>
          <w:color w:val="000000" w:themeColor="text1"/>
        </w:rPr>
      </w:pPr>
    </w:p>
    <w:p w14:paraId="4F522D84" w14:textId="248AF4AF" w:rsidR="00B41364" w:rsidRPr="00915B33" w:rsidRDefault="00B41364" w:rsidP="00B41364">
      <w:pPr>
        <w:pStyle w:val="Soustitre"/>
        <w:numPr>
          <w:ilvl w:val="0"/>
          <w:numId w:val="0"/>
        </w:numPr>
        <w:ind w:left="720"/>
        <w:rPr>
          <w:b w:val="0"/>
          <w:color w:val="000000" w:themeColor="text1"/>
        </w:rPr>
      </w:pPr>
    </w:p>
    <w:p w14:paraId="01D9A6EF" w14:textId="15E5CBA2" w:rsidR="00B41364" w:rsidRPr="00915B33" w:rsidRDefault="00B41364" w:rsidP="00B41364">
      <w:pPr>
        <w:pStyle w:val="Soustitre"/>
        <w:numPr>
          <w:ilvl w:val="0"/>
          <w:numId w:val="0"/>
        </w:numPr>
        <w:ind w:left="720"/>
        <w:rPr>
          <w:b w:val="0"/>
          <w:color w:val="000000" w:themeColor="text1"/>
        </w:rPr>
      </w:pPr>
    </w:p>
    <w:p w14:paraId="2BC1D129" w14:textId="77777777" w:rsidR="00B41364" w:rsidRPr="00915B33" w:rsidRDefault="00B41364" w:rsidP="00B41364">
      <w:pPr>
        <w:pStyle w:val="Soustitre"/>
        <w:numPr>
          <w:ilvl w:val="0"/>
          <w:numId w:val="0"/>
        </w:numPr>
        <w:ind w:left="720"/>
        <w:rPr>
          <w:b w:val="0"/>
          <w:color w:val="000000" w:themeColor="text1"/>
        </w:rPr>
      </w:pPr>
    </w:p>
    <w:p w14:paraId="3E9B2518" w14:textId="0CBEAECB" w:rsidR="00F27423" w:rsidRPr="00F06B8A" w:rsidRDefault="00F27423" w:rsidP="00BC2557">
      <w:pPr>
        <w:pStyle w:val="Sous-titre"/>
        <w:numPr>
          <w:ilvl w:val="0"/>
          <w:numId w:val="27"/>
        </w:numPr>
        <w:outlineLvl w:val="1"/>
      </w:pPr>
      <w:bookmarkStart w:id="37" w:name="_Toc157935478"/>
      <w:r w:rsidRPr="00F06B8A">
        <w:t>2E L’industrie électronique</w:t>
      </w:r>
      <w:bookmarkEnd w:id="36"/>
      <w:bookmarkEnd w:id="37"/>
    </w:p>
    <w:p w14:paraId="60EAD58B" w14:textId="134A1A94" w:rsidR="00F27423" w:rsidRPr="00915B33" w:rsidRDefault="00F27423">
      <w:pPr>
        <w:pStyle w:val="Soustitre"/>
        <w:numPr>
          <w:ilvl w:val="0"/>
          <w:numId w:val="0"/>
        </w:numPr>
        <w:rPr>
          <w:color w:val="000000" w:themeColor="text1"/>
        </w:rPr>
      </w:pPr>
      <w:bookmarkStart w:id="38" w:name="_Toc489388303"/>
      <w:bookmarkStart w:id="39" w:name="_Toc484010058"/>
      <w:bookmarkStart w:id="40" w:name="_Toc481096530"/>
      <w:r w:rsidRPr="00915B33">
        <w:rPr>
          <w:b w:val="0"/>
          <w:color w:val="000000" w:themeColor="text1"/>
        </w:rPr>
        <w:t xml:space="preserve">Aucune des sous-catégories de l’industrie électronique </w:t>
      </w:r>
      <w:r w:rsidR="00FC1E35" w:rsidRPr="00915B33">
        <w:rPr>
          <w:b w:val="0"/>
          <w:color w:val="000000" w:themeColor="text1"/>
        </w:rPr>
        <w:t>(Tableau 13)</w:t>
      </w:r>
      <w:r w:rsidR="0024423F" w:rsidRPr="00915B33">
        <w:rPr>
          <w:b w:val="0"/>
          <w:color w:val="000000" w:themeColor="text1"/>
        </w:rPr>
        <w:t xml:space="preserve"> </w:t>
      </w:r>
      <w:r w:rsidRPr="00915B33">
        <w:rPr>
          <w:b w:val="0"/>
          <w:color w:val="000000" w:themeColor="text1"/>
        </w:rPr>
        <w:t>retenues par les lignes directrices du GIEC n’est répertoriée en Mauritanie.</w:t>
      </w:r>
      <w:bookmarkEnd w:id="38"/>
      <w:bookmarkEnd w:id="39"/>
      <w:bookmarkEnd w:id="40"/>
    </w:p>
    <w:p w14:paraId="2C0F2ECE" w14:textId="475F4ED8" w:rsidR="00F27423" w:rsidRPr="00915B33" w:rsidRDefault="00F27423" w:rsidP="00A32158">
      <w:pPr>
        <w:ind w:left="360"/>
        <w:jc w:val="center"/>
        <w:rPr>
          <w:rFonts w:ascii="Times New Roman" w:eastAsia="Times New Roman" w:hAnsi="Times New Roman" w:cs="Times New Roman"/>
          <w:b/>
          <w:color w:val="000000" w:themeColor="text1"/>
          <w:lang w:eastAsia="fr-FR"/>
        </w:rPr>
      </w:pPr>
      <w:r w:rsidRPr="00915B33">
        <w:rPr>
          <w:rFonts w:ascii="Times New Roman" w:hAnsi="Times New Roman" w:cs="Times New Roman"/>
          <w:b/>
          <w:color w:val="000000" w:themeColor="text1"/>
        </w:rPr>
        <w:t>Tableau 1</w:t>
      </w:r>
      <w:r w:rsidR="00B41364" w:rsidRPr="00915B33">
        <w:rPr>
          <w:rFonts w:ascii="Times New Roman" w:hAnsi="Times New Roman" w:cs="Times New Roman"/>
          <w:b/>
          <w:color w:val="000000" w:themeColor="text1"/>
        </w:rPr>
        <w:t>1</w:t>
      </w:r>
      <w:r w:rsidRPr="00915B33">
        <w:rPr>
          <w:rFonts w:ascii="Times New Roman" w:hAnsi="Times New Roman" w:cs="Times New Roman"/>
          <w:b/>
          <w:color w:val="000000" w:themeColor="text1"/>
        </w:rPr>
        <w:t xml:space="preserve"> :</w:t>
      </w:r>
      <w:r w:rsidRPr="00915B33">
        <w:rPr>
          <w:rFonts w:ascii="Times New Roman" w:hAnsi="Times New Roman" w:cs="Times New Roman"/>
          <w:color w:val="000000" w:themeColor="text1"/>
        </w:rPr>
        <w:t xml:space="preserve"> </w:t>
      </w:r>
      <w:r w:rsidR="00B41364" w:rsidRPr="00915B33">
        <w:rPr>
          <w:rFonts w:ascii="Times New Roman" w:hAnsi="Times New Roman" w:cs="Times New Roman"/>
          <w:color w:val="000000" w:themeColor="text1"/>
        </w:rPr>
        <w:t>P</w:t>
      </w:r>
      <w:r w:rsidRPr="00915B33">
        <w:rPr>
          <w:rFonts w:ascii="Times New Roman" w:hAnsi="Times New Roman" w:cs="Times New Roman"/>
          <w:color w:val="000000" w:themeColor="text1"/>
        </w:rPr>
        <w:t>résence en Mauritanie des sous-catégories 2E</w:t>
      </w:r>
    </w:p>
    <w:tbl>
      <w:tblPr>
        <w:tblStyle w:val="TableauGrille2"/>
        <w:tblW w:w="0" w:type="auto"/>
        <w:tblLayout w:type="fixed"/>
        <w:tblLook w:val="0000" w:firstRow="0" w:lastRow="0" w:firstColumn="0" w:lastColumn="0" w:noHBand="0" w:noVBand="0"/>
      </w:tblPr>
      <w:tblGrid>
        <w:gridCol w:w="4692"/>
        <w:gridCol w:w="4536"/>
      </w:tblGrid>
      <w:tr w:rsidR="00915B33" w:rsidRPr="00915B33" w14:paraId="16A9CF7B" w14:textId="77777777" w:rsidTr="003F046B">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228" w:type="dxa"/>
            <w:gridSpan w:val="2"/>
          </w:tcPr>
          <w:p w14:paraId="5D837198" w14:textId="77777777" w:rsidR="00F27423" w:rsidRPr="00915B33" w:rsidRDefault="00F27423" w:rsidP="006551D1">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Catégorie : 2E Industrie électronique</w:t>
            </w:r>
          </w:p>
        </w:tc>
      </w:tr>
      <w:tr w:rsidR="00915B33" w:rsidRPr="00915B33" w14:paraId="40CA1454" w14:textId="77777777" w:rsidTr="003F046B">
        <w:trPr>
          <w:trHeight w:val="300"/>
        </w:trPr>
        <w:tc>
          <w:tcPr>
            <w:cnfStyle w:val="000010000000" w:firstRow="0" w:lastRow="0" w:firstColumn="0" w:lastColumn="0" w:oddVBand="1" w:evenVBand="0" w:oddHBand="0" w:evenHBand="0" w:firstRowFirstColumn="0" w:firstRowLastColumn="0" w:lastRowFirstColumn="0" w:lastRowLastColumn="0"/>
            <w:tcW w:w="4692" w:type="dxa"/>
          </w:tcPr>
          <w:p w14:paraId="0B894D72"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p>
        </w:tc>
        <w:tc>
          <w:tcPr>
            <w:tcW w:w="4536" w:type="dxa"/>
          </w:tcPr>
          <w:p w14:paraId="2D6CC4E3" w14:textId="77777777" w:rsidR="00F27423" w:rsidRPr="00915B33" w:rsidRDefault="00F2742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lang w:eastAsia="fr-FR"/>
              </w:rPr>
            </w:pPr>
          </w:p>
        </w:tc>
      </w:tr>
      <w:tr w:rsidR="00915B33" w:rsidRPr="00915B33" w14:paraId="0FC2FC9A" w14:textId="77777777" w:rsidTr="003F046B">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692" w:type="dxa"/>
          </w:tcPr>
          <w:p w14:paraId="237AA885" w14:textId="77777777" w:rsidR="00F27423" w:rsidRPr="00915B33" w:rsidRDefault="00F27423" w:rsidP="006551D1">
            <w:pPr>
              <w:spacing w:line="240" w:lineRule="auto"/>
              <w:jc w:val="center"/>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Sous-catégories</w:t>
            </w:r>
          </w:p>
        </w:tc>
        <w:tc>
          <w:tcPr>
            <w:tcW w:w="4536" w:type="dxa"/>
          </w:tcPr>
          <w:p w14:paraId="339FAD2A" w14:textId="77777777" w:rsidR="00F27423" w:rsidRPr="00915B33" w:rsidRDefault="00F27423" w:rsidP="006551D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Présence en Mauritanie</w:t>
            </w:r>
          </w:p>
        </w:tc>
      </w:tr>
      <w:tr w:rsidR="00915B33" w:rsidRPr="00915B33" w14:paraId="54247608" w14:textId="77777777" w:rsidTr="003F046B">
        <w:trPr>
          <w:trHeight w:val="300"/>
        </w:trPr>
        <w:tc>
          <w:tcPr>
            <w:cnfStyle w:val="000010000000" w:firstRow="0" w:lastRow="0" w:firstColumn="0" w:lastColumn="0" w:oddVBand="1" w:evenVBand="0" w:oddHBand="0" w:evenHBand="0" w:firstRowFirstColumn="0" w:firstRowLastColumn="0" w:lastRowFirstColumn="0" w:lastRowLastColumn="0"/>
            <w:tcW w:w="4692" w:type="dxa"/>
          </w:tcPr>
          <w:p w14:paraId="46615957"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2E1. Circuit intégré ou semi-conducteur</w:t>
            </w:r>
          </w:p>
        </w:tc>
        <w:tc>
          <w:tcPr>
            <w:tcW w:w="4536" w:type="dxa"/>
          </w:tcPr>
          <w:p w14:paraId="1FAD3DB1" w14:textId="77777777" w:rsidR="00F27423" w:rsidRPr="00915B33" w:rsidRDefault="00F27423" w:rsidP="006551D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75B02598" w14:textId="77777777" w:rsidTr="003F046B">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692" w:type="dxa"/>
          </w:tcPr>
          <w:p w14:paraId="15D0FCBB"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2E2. Écran plat (TFT)</w:t>
            </w:r>
          </w:p>
        </w:tc>
        <w:tc>
          <w:tcPr>
            <w:tcW w:w="4536" w:type="dxa"/>
          </w:tcPr>
          <w:p w14:paraId="0D7C5406" w14:textId="77777777" w:rsidR="00F27423" w:rsidRPr="00915B33" w:rsidRDefault="00F27423" w:rsidP="006551D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68DA4560" w14:textId="77777777" w:rsidTr="003F046B">
        <w:trPr>
          <w:trHeight w:val="300"/>
        </w:trPr>
        <w:tc>
          <w:tcPr>
            <w:cnfStyle w:val="000010000000" w:firstRow="0" w:lastRow="0" w:firstColumn="0" w:lastColumn="0" w:oddVBand="1" w:evenVBand="0" w:oddHBand="0" w:evenHBand="0" w:firstRowFirstColumn="0" w:firstRowLastColumn="0" w:lastRowFirstColumn="0" w:lastRowLastColumn="0"/>
            <w:tcW w:w="4692" w:type="dxa"/>
          </w:tcPr>
          <w:p w14:paraId="019F3A00"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2E3 Production de photovoltaïques</w:t>
            </w:r>
          </w:p>
        </w:tc>
        <w:tc>
          <w:tcPr>
            <w:tcW w:w="4536" w:type="dxa"/>
          </w:tcPr>
          <w:p w14:paraId="5480B630" w14:textId="77777777" w:rsidR="00F27423" w:rsidRPr="00915B33" w:rsidRDefault="00F27423" w:rsidP="006551D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6913474B" w14:textId="77777777" w:rsidTr="003F046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692" w:type="dxa"/>
          </w:tcPr>
          <w:p w14:paraId="18A4556F"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2E4 Circuit de transfert de chaleur</w:t>
            </w:r>
          </w:p>
        </w:tc>
        <w:tc>
          <w:tcPr>
            <w:tcW w:w="4536" w:type="dxa"/>
          </w:tcPr>
          <w:p w14:paraId="736E49D4" w14:textId="77777777" w:rsidR="00F27423" w:rsidRPr="00915B33" w:rsidRDefault="00F27423" w:rsidP="006551D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411136C9" w14:textId="77777777" w:rsidTr="003F046B">
        <w:trPr>
          <w:trHeight w:val="315"/>
        </w:trPr>
        <w:tc>
          <w:tcPr>
            <w:cnfStyle w:val="000010000000" w:firstRow="0" w:lastRow="0" w:firstColumn="0" w:lastColumn="0" w:oddVBand="1" w:evenVBand="0" w:oddHBand="0" w:evenHBand="0" w:firstRowFirstColumn="0" w:firstRowLastColumn="0" w:lastRowFirstColumn="0" w:lastRowLastColumn="0"/>
            <w:tcW w:w="4692" w:type="dxa"/>
          </w:tcPr>
          <w:p w14:paraId="23A2FD10"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2E5 Autres (précisez)</w:t>
            </w:r>
          </w:p>
        </w:tc>
        <w:tc>
          <w:tcPr>
            <w:tcW w:w="4536" w:type="dxa"/>
          </w:tcPr>
          <w:p w14:paraId="3ED3091B" w14:textId="77777777" w:rsidR="00F27423" w:rsidRPr="00915B33" w:rsidRDefault="00F27423" w:rsidP="006551D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bl>
    <w:p w14:paraId="4C6F9F06" w14:textId="77777777" w:rsidR="00F27423" w:rsidRPr="00915B33" w:rsidRDefault="00F27423">
      <w:pPr>
        <w:pStyle w:val="Soustitre"/>
        <w:numPr>
          <w:ilvl w:val="0"/>
          <w:numId w:val="0"/>
        </w:numPr>
        <w:ind w:left="720"/>
        <w:rPr>
          <w:color w:val="000000" w:themeColor="text1"/>
        </w:rPr>
      </w:pPr>
    </w:p>
    <w:p w14:paraId="7134997F" w14:textId="41F5F210" w:rsidR="00F27423" w:rsidRPr="00F06B8A" w:rsidRDefault="00F27423" w:rsidP="00BC2557">
      <w:pPr>
        <w:pStyle w:val="Sous-titre"/>
        <w:numPr>
          <w:ilvl w:val="0"/>
          <w:numId w:val="27"/>
        </w:numPr>
        <w:outlineLvl w:val="1"/>
      </w:pPr>
      <w:bookmarkStart w:id="41" w:name="_Toc489388304"/>
      <w:bookmarkStart w:id="42" w:name="_Toc157935479"/>
      <w:r w:rsidRPr="00F06B8A">
        <w:t>2F Utilisation de produits comme substituts des substances appauvrissant l’ozone (SAO)</w:t>
      </w:r>
      <w:bookmarkEnd w:id="41"/>
      <w:bookmarkEnd w:id="42"/>
    </w:p>
    <w:p w14:paraId="09F181B2" w14:textId="4ABE2560" w:rsidR="00F27423" w:rsidRPr="00915B33" w:rsidRDefault="00F27423" w:rsidP="003F046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L’exploitation des ressources halieutiques de la Mauritanie est une composante essentielle de l’économie nationale. Plusieurs dizaines d’usines de traitement de poissons sont localisées à Nouadhibou et à Nouakchott. L’activité de ces dernières donne lieu à l’utilisation de produits réfrigérants pour la conservation des poissons</w:t>
      </w:r>
      <w:r w:rsidR="00FC1E35" w:rsidRPr="00915B33">
        <w:rPr>
          <w:rFonts w:ascii="Times New Roman" w:hAnsi="Times New Roman" w:cs="Times New Roman"/>
          <w:color w:val="000000" w:themeColor="text1"/>
        </w:rPr>
        <w:t>,</w:t>
      </w:r>
      <w:r w:rsidRPr="00915B33">
        <w:rPr>
          <w:rFonts w:ascii="Times New Roman" w:hAnsi="Times New Roman" w:cs="Times New Roman"/>
          <w:color w:val="000000" w:themeColor="text1"/>
        </w:rPr>
        <w:t xml:space="preserve"> en attendant leur exportation vers les marchés asiatiques et européens. La base de données de la douane fournit les importations annuelles de la famille des gaz utilisés (fréon).</w:t>
      </w:r>
    </w:p>
    <w:p w14:paraId="11093427" w14:textId="38675B03" w:rsidR="00F27423" w:rsidRPr="00915B33" w:rsidRDefault="00F27423" w:rsidP="00A32158">
      <w:pPr>
        <w:ind w:left="360"/>
        <w:jc w:val="center"/>
        <w:rPr>
          <w:rFonts w:ascii="Times New Roman" w:hAnsi="Times New Roman" w:cs="Times New Roman"/>
          <w:b/>
          <w:color w:val="000000" w:themeColor="text1"/>
        </w:rPr>
      </w:pPr>
      <w:r w:rsidRPr="00915B33">
        <w:rPr>
          <w:rFonts w:ascii="Times New Roman" w:hAnsi="Times New Roman" w:cs="Times New Roman"/>
          <w:b/>
          <w:color w:val="000000" w:themeColor="text1"/>
        </w:rPr>
        <w:t>Tableau 1</w:t>
      </w:r>
      <w:r w:rsidR="00B41364" w:rsidRPr="00915B33">
        <w:rPr>
          <w:rFonts w:ascii="Times New Roman" w:hAnsi="Times New Roman" w:cs="Times New Roman"/>
          <w:b/>
          <w:color w:val="000000" w:themeColor="text1"/>
        </w:rPr>
        <w:t>2</w:t>
      </w:r>
      <w:r w:rsidRPr="00915B33">
        <w:rPr>
          <w:rFonts w:ascii="Times New Roman" w:hAnsi="Times New Roman" w:cs="Times New Roman"/>
          <w:b/>
          <w:color w:val="000000" w:themeColor="text1"/>
        </w:rPr>
        <w:t xml:space="preserve"> : </w:t>
      </w:r>
      <w:r w:rsidR="00B41364" w:rsidRPr="00915B33">
        <w:rPr>
          <w:rFonts w:ascii="Times New Roman" w:hAnsi="Times New Roman" w:cs="Times New Roman"/>
          <w:color w:val="000000" w:themeColor="text1"/>
        </w:rPr>
        <w:t>P</w:t>
      </w:r>
      <w:r w:rsidRPr="00915B33">
        <w:rPr>
          <w:rFonts w:ascii="Times New Roman" w:hAnsi="Times New Roman" w:cs="Times New Roman"/>
          <w:color w:val="000000" w:themeColor="text1"/>
        </w:rPr>
        <w:t>résence en Mauritanie des sous-catégories 2F</w:t>
      </w:r>
    </w:p>
    <w:tbl>
      <w:tblPr>
        <w:tblStyle w:val="TableauGrille2-Accentuation2"/>
        <w:tblW w:w="9228" w:type="dxa"/>
        <w:tblLayout w:type="fixed"/>
        <w:tblLook w:val="0000" w:firstRow="0" w:lastRow="0" w:firstColumn="0" w:lastColumn="0" w:noHBand="0" w:noVBand="0"/>
      </w:tblPr>
      <w:tblGrid>
        <w:gridCol w:w="4692"/>
        <w:gridCol w:w="4536"/>
      </w:tblGrid>
      <w:tr w:rsidR="00915B33" w:rsidRPr="00915B33" w14:paraId="29137F43" w14:textId="77777777" w:rsidTr="00C62805">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228" w:type="dxa"/>
            <w:gridSpan w:val="2"/>
          </w:tcPr>
          <w:p w14:paraId="29226F45" w14:textId="77777777" w:rsidR="00F27423" w:rsidRPr="00915B33" w:rsidRDefault="00F27423" w:rsidP="00FC1E35">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Catégorie : 2F Utilisation des produits comme substituts de SAO</w:t>
            </w:r>
          </w:p>
        </w:tc>
      </w:tr>
      <w:tr w:rsidR="00915B33" w:rsidRPr="00915B33" w14:paraId="2E58A2A3" w14:textId="77777777" w:rsidTr="00C62805">
        <w:trPr>
          <w:trHeight w:val="300"/>
        </w:trPr>
        <w:tc>
          <w:tcPr>
            <w:cnfStyle w:val="000010000000" w:firstRow="0" w:lastRow="0" w:firstColumn="0" w:lastColumn="0" w:oddVBand="1" w:evenVBand="0" w:oddHBand="0" w:evenHBand="0" w:firstRowFirstColumn="0" w:firstRowLastColumn="0" w:lastRowFirstColumn="0" w:lastRowLastColumn="0"/>
            <w:tcW w:w="4692" w:type="dxa"/>
          </w:tcPr>
          <w:p w14:paraId="6C05F4F8"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p>
        </w:tc>
        <w:tc>
          <w:tcPr>
            <w:tcW w:w="4536" w:type="dxa"/>
          </w:tcPr>
          <w:p w14:paraId="3B93C0CF" w14:textId="77777777" w:rsidR="00F27423" w:rsidRPr="00915B33" w:rsidRDefault="00F2742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lang w:eastAsia="fr-FR"/>
              </w:rPr>
            </w:pPr>
          </w:p>
        </w:tc>
      </w:tr>
      <w:tr w:rsidR="00915B33" w:rsidRPr="00915B33" w14:paraId="25B53088" w14:textId="77777777" w:rsidTr="00C62805">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692" w:type="dxa"/>
          </w:tcPr>
          <w:p w14:paraId="19640E1A" w14:textId="77777777" w:rsidR="00F27423" w:rsidRPr="00915B33" w:rsidRDefault="00F27423">
            <w:pPr>
              <w:spacing w:line="240" w:lineRule="auto"/>
              <w:jc w:val="both"/>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Sous-catégories</w:t>
            </w:r>
          </w:p>
        </w:tc>
        <w:tc>
          <w:tcPr>
            <w:tcW w:w="4536" w:type="dxa"/>
          </w:tcPr>
          <w:p w14:paraId="2E7DA87B" w14:textId="77777777" w:rsidR="00F27423" w:rsidRPr="00915B33" w:rsidRDefault="00F2742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 xml:space="preserve">Présence en Mauritanie </w:t>
            </w:r>
          </w:p>
        </w:tc>
      </w:tr>
      <w:tr w:rsidR="00915B33" w:rsidRPr="00915B33" w14:paraId="5FC8B7A2" w14:textId="77777777" w:rsidTr="00C62805">
        <w:trPr>
          <w:trHeight w:val="300"/>
        </w:trPr>
        <w:tc>
          <w:tcPr>
            <w:cnfStyle w:val="000010000000" w:firstRow="0" w:lastRow="0" w:firstColumn="0" w:lastColumn="0" w:oddVBand="1" w:evenVBand="0" w:oddHBand="0" w:evenHBand="0" w:firstRowFirstColumn="0" w:firstRowLastColumn="0" w:lastRowFirstColumn="0" w:lastRowLastColumn="0"/>
            <w:tcW w:w="4692" w:type="dxa"/>
          </w:tcPr>
          <w:p w14:paraId="33138D93"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2F1 Réfrigération et climatisation</w:t>
            </w:r>
          </w:p>
        </w:tc>
        <w:tc>
          <w:tcPr>
            <w:tcW w:w="4536" w:type="dxa"/>
          </w:tcPr>
          <w:p w14:paraId="102B14C6"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Oui</w:t>
            </w:r>
          </w:p>
        </w:tc>
      </w:tr>
      <w:tr w:rsidR="00915B33" w:rsidRPr="00915B33" w14:paraId="7DF64360" w14:textId="77777777" w:rsidTr="00C62805">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692" w:type="dxa"/>
          </w:tcPr>
          <w:p w14:paraId="3239BB89"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2F2 Agents d’expansion des mousses</w:t>
            </w:r>
          </w:p>
        </w:tc>
        <w:tc>
          <w:tcPr>
            <w:tcW w:w="4536" w:type="dxa"/>
          </w:tcPr>
          <w:p w14:paraId="6BDC5002"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Négligeable</w:t>
            </w:r>
          </w:p>
        </w:tc>
      </w:tr>
      <w:tr w:rsidR="00915B33" w:rsidRPr="00915B33" w14:paraId="7CA9DAD4" w14:textId="77777777" w:rsidTr="00C62805">
        <w:trPr>
          <w:trHeight w:val="300"/>
        </w:trPr>
        <w:tc>
          <w:tcPr>
            <w:cnfStyle w:val="000010000000" w:firstRow="0" w:lastRow="0" w:firstColumn="0" w:lastColumn="0" w:oddVBand="1" w:evenVBand="0" w:oddHBand="0" w:evenHBand="0" w:firstRowFirstColumn="0" w:firstRowLastColumn="0" w:lastRowFirstColumn="0" w:lastRowLastColumn="0"/>
            <w:tcW w:w="4692" w:type="dxa"/>
          </w:tcPr>
          <w:p w14:paraId="6B83B461"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2F3 Protection d’incendie</w:t>
            </w:r>
          </w:p>
        </w:tc>
        <w:tc>
          <w:tcPr>
            <w:tcW w:w="4536" w:type="dxa"/>
          </w:tcPr>
          <w:p w14:paraId="36ABECD8"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Négligeable</w:t>
            </w:r>
          </w:p>
        </w:tc>
      </w:tr>
      <w:tr w:rsidR="00915B33" w:rsidRPr="00915B33" w14:paraId="3C24F3F2" w14:textId="77777777" w:rsidTr="00C62805">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692" w:type="dxa"/>
          </w:tcPr>
          <w:p w14:paraId="1B3CF858"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2F4 Aérosols</w:t>
            </w:r>
          </w:p>
        </w:tc>
        <w:tc>
          <w:tcPr>
            <w:tcW w:w="4536" w:type="dxa"/>
          </w:tcPr>
          <w:p w14:paraId="0D100F3B"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65A98E2E" w14:textId="77777777" w:rsidTr="00C62805">
        <w:trPr>
          <w:trHeight w:val="315"/>
        </w:trPr>
        <w:tc>
          <w:tcPr>
            <w:cnfStyle w:val="000010000000" w:firstRow="0" w:lastRow="0" w:firstColumn="0" w:lastColumn="0" w:oddVBand="1" w:evenVBand="0" w:oddHBand="0" w:evenHBand="0" w:firstRowFirstColumn="0" w:firstRowLastColumn="0" w:lastRowFirstColumn="0" w:lastRowLastColumn="0"/>
            <w:tcW w:w="4692" w:type="dxa"/>
          </w:tcPr>
          <w:p w14:paraId="70AF5684"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2F5 Solvants</w:t>
            </w:r>
          </w:p>
        </w:tc>
        <w:tc>
          <w:tcPr>
            <w:tcW w:w="4536" w:type="dxa"/>
          </w:tcPr>
          <w:p w14:paraId="1196EA5C"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bl>
    <w:p w14:paraId="564F5F27" w14:textId="77777777" w:rsidR="00F27423" w:rsidRPr="00915B33" w:rsidRDefault="00F27423" w:rsidP="00FC5A1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L’unité de production de matelas utilise l’eau comme agent d’expansion des moussons à la place des agents chimiques classiques. Ce procédé n’engendre pas d’émissions de GES.</w:t>
      </w:r>
    </w:p>
    <w:p w14:paraId="3E024F75" w14:textId="77777777" w:rsidR="00F27423" w:rsidRPr="00915B33" w:rsidRDefault="00F27423" w:rsidP="00FC5A1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L’usage de certains types de produits de lutte contre les incendies peut entrainer des émissions de GES. Selon les experts du domaine, les extincteurs à halon de type 1301 et 1211 responsables de l’émission d’hexafluorure de soufre (SF</w:t>
      </w:r>
      <w:r w:rsidRPr="00915B33">
        <w:rPr>
          <w:rFonts w:ascii="Times New Roman" w:hAnsi="Times New Roman" w:cs="Times New Roman"/>
          <w:color w:val="000000" w:themeColor="text1"/>
          <w:vertAlign w:val="subscript"/>
        </w:rPr>
        <w:t>6</w:t>
      </w:r>
      <w:r w:rsidRPr="00915B33">
        <w:rPr>
          <w:rFonts w:ascii="Times New Roman" w:hAnsi="Times New Roman" w:cs="Times New Roman"/>
          <w:color w:val="000000" w:themeColor="text1"/>
        </w:rPr>
        <w:t xml:space="preserve">) sont très peu usités en Mauritanie, voire pas du tout. Ce qui, selon eux, rend négligeables leur prise en compte dans les données de l’inventaire. </w:t>
      </w:r>
    </w:p>
    <w:p w14:paraId="79AF11BE" w14:textId="77777777" w:rsidR="00F27423" w:rsidRPr="00915B33" w:rsidRDefault="00F27423" w:rsidP="00FC5A1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Aucune industrie de production d’aérosols n’est établie en Mauritanie. Les besoins du pays en la matière sont assurés grâce à l’importation de produits finis.</w:t>
      </w:r>
    </w:p>
    <w:p w14:paraId="4C48A8D9" w14:textId="789F503F" w:rsidR="00F27423" w:rsidRPr="00F06B8A" w:rsidRDefault="00F27423" w:rsidP="00BC2557">
      <w:pPr>
        <w:pStyle w:val="Sous-titre"/>
        <w:numPr>
          <w:ilvl w:val="0"/>
          <w:numId w:val="27"/>
        </w:numPr>
        <w:outlineLvl w:val="1"/>
      </w:pPr>
      <w:bookmarkStart w:id="43" w:name="_Toc489388305"/>
      <w:bookmarkStart w:id="44" w:name="_Toc157935480"/>
      <w:r w:rsidRPr="00F06B8A">
        <w:t>2G Autres fabrications et utilisations de produits</w:t>
      </w:r>
      <w:bookmarkEnd w:id="43"/>
      <w:bookmarkEnd w:id="44"/>
    </w:p>
    <w:p w14:paraId="1A826C5E" w14:textId="46F9D61E" w:rsidR="00F27423" w:rsidRPr="00915B33" w:rsidRDefault="00F27423">
      <w:pPr>
        <w:pStyle w:val="Soustitre"/>
        <w:numPr>
          <w:ilvl w:val="0"/>
          <w:numId w:val="0"/>
        </w:numPr>
        <w:rPr>
          <w:color w:val="000000" w:themeColor="text1"/>
        </w:rPr>
      </w:pPr>
      <w:bookmarkStart w:id="45" w:name="_Toc489388306"/>
      <w:bookmarkStart w:id="46" w:name="_Toc484010061"/>
      <w:bookmarkStart w:id="47" w:name="_Toc481096533"/>
      <w:r w:rsidRPr="00915B33">
        <w:rPr>
          <w:b w:val="0"/>
          <w:color w:val="000000" w:themeColor="text1"/>
          <w:sz w:val="22"/>
          <w:szCs w:val="22"/>
        </w:rPr>
        <w:t>Selon la classification du GIEC, la catégorie "</w:t>
      </w:r>
      <w:r w:rsidRPr="00915B33">
        <w:rPr>
          <w:color w:val="000000" w:themeColor="text1"/>
          <w:sz w:val="22"/>
          <w:szCs w:val="22"/>
        </w:rPr>
        <w:t xml:space="preserve">2GAutres fabrications et utilisations de produits" </w:t>
      </w:r>
      <w:r w:rsidRPr="00915B33">
        <w:rPr>
          <w:b w:val="0"/>
          <w:color w:val="000000" w:themeColor="text1"/>
          <w:sz w:val="22"/>
          <w:szCs w:val="22"/>
        </w:rPr>
        <w:t>correspond à la production et à l’usage d’équipements électriques. Ces éléments occasionnent le rejet de l’hexafluorure SF</w:t>
      </w:r>
      <w:r w:rsidRPr="00915B33">
        <w:rPr>
          <w:b w:val="0"/>
          <w:color w:val="000000" w:themeColor="text1"/>
          <w:sz w:val="22"/>
          <w:szCs w:val="22"/>
          <w:vertAlign w:val="subscript"/>
        </w:rPr>
        <w:t>6</w:t>
      </w:r>
      <w:r w:rsidRPr="00915B33">
        <w:rPr>
          <w:b w:val="0"/>
          <w:color w:val="000000" w:themeColor="text1"/>
          <w:sz w:val="22"/>
          <w:szCs w:val="22"/>
        </w:rPr>
        <w:t xml:space="preserve">, du perfluorocarbure (PFC) et du </w:t>
      </w:r>
      <w:r w:rsidRPr="00915B33">
        <w:rPr>
          <w:b w:val="0"/>
          <w:color w:val="000000" w:themeColor="text1"/>
          <w:sz w:val="22"/>
          <w:szCs w:val="22"/>
          <w:shd w:val="clear" w:color="auto" w:fill="FFFFFF"/>
        </w:rPr>
        <w:t>protoxyde d'azote</w:t>
      </w:r>
      <w:r w:rsidRPr="00915B33">
        <w:rPr>
          <w:b w:val="0"/>
          <w:color w:val="000000" w:themeColor="text1"/>
          <w:sz w:val="22"/>
          <w:szCs w:val="22"/>
        </w:rPr>
        <w:t xml:space="preserve"> (N</w:t>
      </w:r>
      <w:r w:rsidRPr="00915B33">
        <w:rPr>
          <w:b w:val="0"/>
          <w:color w:val="000000" w:themeColor="text1"/>
          <w:sz w:val="22"/>
          <w:szCs w:val="22"/>
          <w:vertAlign w:val="subscript"/>
        </w:rPr>
        <w:t>2</w:t>
      </w:r>
      <w:r w:rsidRPr="00915B33">
        <w:rPr>
          <w:b w:val="0"/>
          <w:color w:val="000000" w:themeColor="text1"/>
          <w:sz w:val="22"/>
          <w:szCs w:val="22"/>
        </w:rPr>
        <w:t>O).</w:t>
      </w:r>
      <w:r w:rsidR="00E818B6" w:rsidRPr="00915B33">
        <w:rPr>
          <w:b w:val="0"/>
          <w:color w:val="000000" w:themeColor="text1"/>
          <w:sz w:val="22"/>
          <w:szCs w:val="22"/>
        </w:rPr>
        <w:t xml:space="preserve"> </w:t>
      </w:r>
      <w:r w:rsidRPr="00915B33">
        <w:rPr>
          <w:b w:val="0"/>
          <w:color w:val="000000" w:themeColor="text1"/>
          <w:sz w:val="22"/>
          <w:szCs w:val="22"/>
        </w:rPr>
        <w:t>Les émissions pouvant provenir des disjoncteurs électriques des installations hydroélectriques de l’OMVS n’ont pas encore atteint l’horizon temporel (40 ans) considéré</w:t>
      </w:r>
      <w:r w:rsidR="00FC1E35" w:rsidRPr="00915B33">
        <w:rPr>
          <w:b w:val="0"/>
          <w:color w:val="000000" w:themeColor="text1"/>
          <w:sz w:val="22"/>
          <w:szCs w:val="22"/>
        </w:rPr>
        <w:t>,</w:t>
      </w:r>
      <w:r w:rsidRPr="00915B33">
        <w:rPr>
          <w:b w:val="0"/>
          <w:color w:val="000000" w:themeColor="text1"/>
          <w:sz w:val="22"/>
          <w:szCs w:val="22"/>
        </w:rPr>
        <w:t xml:space="preserve"> pour devenir source de rejet de GES.</w:t>
      </w:r>
      <w:bookmarkEnd w:id="45"/>
      <w:bookmarkEnd w:id="46"/>
      <w:bookmarkEnd w:id="47"/>
    </w:p>
    <w:p w14:paraId="18841C55" w14:textId="3FCC14D7" w:rsidR="00F27423" w:rsidRPr="00915B33" w:rsidRDefault="00F27423">
      <w:pPr>
        <w:pStyle w:val="Soustitre"/>
        <w:numPr>
          <w:ilvl w:val="0"/>
          <w:numId w:val="0"/>
        </w:numPr>
        <w:ind w:left="720"/>
        <w:jc w:val="center"/>
        <w:rPr>
          <w:rFonts w:eastAsia="Times New Roman"/>
          <w:color w:val="000000" w:themeColor="text1"/>
          <w:lang w:eastAsia="fr-FR"/>
        </w:rPr>
      </w:pPr>
      <w:bookmarkStart w:id="48" w:name="_Toc489388307"/>
      <w:bookmarkStart w:id="49" w:name="_Toc484010062"/>
      <w:bookmarkStart w:id="50" w:name="_Toc481096534"/>
      <w:r w:rsidRPr="00915B33">
        <w:rPr>
          <w:color w:val="000000" w:themeColor="text1"/>
        </w:rPr>
        <w:t>Tableau 1</w:t>
      </w:r>
      <w:r w:rsidR="00B41364" w:rsidRPr="00915B33">
        <w:rPr>
          <w:color w:val="000000" w:themeColor="text1"/>
        </w:rPr>
        <w:t>3</w:t>
      </w:r>
      <w:r w:rsidRPr="00915B33">
        <w:rPr>
          <w:color w:val="000000" w:themeColor="text1"/>
        </w:rPr>
        <w:t xml:space="preserve"> : </w:t>
      </w:r>
      <w:r w:rsidR="00B41364" w:rsidRPr="00915B33">
        <w:rPr>
          <w:b w:val="0"/>
          <w:color w:val="000000" w:themeColor="text1"/>
        </w:rPr>
        <w:t>P</w:t>
      </w:r>
      <w:r w:rsidRPr="00915B33">
        <w:rPr>
          <w:b w:val="0"/>
          <w:color w:val="000000" w:themeColor="text1"/>
        </w:rPr>
        <w:t>résence en Mauritanie des sous-catégories 2G</w:t>
      </w:r>
      <w:bookmarkEnd w:id="48"/>
      <w:bookmarkEnd w:id="49"/>
      <w:bookmarkEnd w:id="50"/>
    </w:p>
    <w:tbl>
      <w:tblPr>
        <w:tblStyle w:val="TableauGrille2-Accentuation3"/>
        <w:tblW w:w="0" w:type="auto"/>
        <w:tblLayout w:type="fixed"/>
        <w:tblLook w:val="0000" w:firstRow="0" w:lastRow="0" w:firstColumn="0" w:lastColumn="0" w:noHBand="0" w:noVBand="0"/>
      </w:tblPr>
      <w:tblGrid>
        <w:gridCol w:w="5117"/>
        <w:gridCol w:w="4111"/>
      </w:tblGrid>
      <w:tr w:rsidR="00915B33" w:rsidRPr="00915B33" w14:paraId="655B6C5E" w14:textId="77777777" w:rsidTr="00F663BC">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228" w:type="dxa"/>
            <w:gridSpan w:val="2"/>
          </w:tcPr>
          <w:p w14:paraId="1F3F959D"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Catégorie : 2G Autres fabrications et utilisations de produits</w:t>
            </w:r>
          </w:p>
        </w:tc>
      </w:tr>
      <w:tr w:rsidR="00915B33" w:rsidRPr="00915B33" w14:paraId="277FDAEF" w14:textId="77777777" w:rsidTr="00F663BC">
        <w:trPr>
          <w:trHeight w:val="300"/>
        </w:trPr>
        <w:tc>
          <w:tcPr>
            <w:cnfStyle w:val="000010000000" w:firstRow="0" w:lastRow="0" w:firstColumn="0" w:lastColumn="0" w:oddVBand="1" w:evenVBand="0" w:oddHBand="0" w:evenHBand="0" w:firstRowFirstColumn="0" w:firstRowLastColumn="0" w:lastRowFirstColumn="0" w:lastRowLastColumn="0"/>
            <w:tcW w:w="5117" w:type="dxa"/>
          </w:tcPr>
          <w:p w14:paraId="7F594529" w14:textId="77777777" w:rsidR="00F27423" w:rsidRPr="00915B33" w:rsidRDefault="00F27423">
            <w:pPr>
              <w:jc w:val="both"/>
              <w:rPr>
                <w:rFonts w:ascii="Times New Roman" w:hAnsi="Times New Roman" w:cs="Times New Roman"/>
                <w:color w:val="000000" w:themeColor="text1"/>
                <w:lang w:eastAsia="fr-FR"/>
              </w:rPr>
            </w:pPr>
          </w:p>
        </w:tc>
        <w:tc>
          <w:tcPr>
            <w:tcW w:w="4111" w:type="dxa"/>
          </w:tcPr>
          <w:p w14:paraId="1EBF2F22" w14:textId="77777777" w:rsidR="00F27423" w:rsidRPr="00915B33" w:rsidRDefault="00F274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fr-FR"/>
              </w:rPr>
            </w:pPr>
          </w:p>
        </w:tc>
      </w:tr>
      <w:tr w:rsidR="00915B33" w:rsidRPr="00915B33" w14:paraId="6EFDEB45" w14:textId="77777777" w:rsidTr="00F663BC">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117" w:type="dxa"/>
          </w:tcPr>
          <w:p w14:paraId="6EFEC369" w14:textId="77777777" w:rsidR="00F27423" w:rsidRPr="00915B33" w:rsidRDefault="00F27423">
            <w:pPr>
              <w:spacing w:line="240" w:lineRule="auto"/>
              <w:jc w:val="center"/>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Sous-catégories</w:t>
            </w:r>
          </w:p>
        </w:tc>
        <w:tc>
          <w:tcPr>
            <w:tcW w:w="4111" w:type="dxa"/>
          </w:tcPr>
          <w:p w14:paraId="3E9B8303"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Présence en Mauritanie</w:t>
            </w:r>
          </w:p>
        </w:tc>
      </w:tr>
      <w:tr w:rsidR="00915B33" w:rsidRPr="00915B33" w14:paraId="2395531F" w14:textId="77777777" w:rsidTr="00F663BC">
        <w:trPr>
          <w:trHeight w:val="300"/>
        </w:trPr>
        <w:tc>
          <w:tcPr>
            <w:cnfStyle w:val="000010000000" w:firstRow="0" w:lastRow="0" w:firstColumn="0" w:lastColumn="0" w:oddVBand="1" w:evenVBand="0" w:oddHBand="0" w:evenHBand="0" w:firstRowFirstColumn="0" w:firstRowLastColumn="0" w:lastRowFirstColumn="0" w:lastRowLastColumn="0"/>
            <w:tcW w:w="5117" w:type="dxa"/>
          </w:tcPr>
          <w:p w14:paraId="1E37A676"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2G1 Matériel électrique</w:t>
            </w:r>
          </w:p>
        </w:tc>
        <w:tc>
          <w:tcPr>
            <w:tcW w:w="4111" w:type="dxa"/>
          </w:tcPr>
          <w:p w14:paraId="57F9C206"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7C67399F" w14:textId="77777777" w:rsidTr="00F663BC">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117" w:type="dxa"/>
          </w:tcPr>
          <w:p w14:paraId="32A2982A"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2G2 SF6</w:t>
            </w:r>
          </w:p>
        </w:tc>
        <w:tc>
          <w:tcPr>
            <w:tcW w:w="4111" w:type="dxa"/>
          </w:tcPr>
          <w:p w14:paraId="22B45D2D"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154FF639" w14:textId="77777777" w:rsidTr="00F663BC">
        <w:trPr>
          <w:trHeight w:val="300"/>
        </w:trPr>
        <w:tc>
          <w:tcPr>
            <w:cnfStyle w:val="000010000000" w:firstRow="0" w:lastRow="0" w:firstColumn="0" w:lastColumn="0" w:oddVBand="1" w:evenVBand="0" w:oddHBand="0" w:evenHBand="0" w:firstRowFirstColumn="0" w:firstRowLastColumn="0" w:lastRowFirstColumn="0" w:lastRowLastColumn="0"/>
            <w:tcW w:w="5117" w:type="dxa"/>
          </w:tcPr>
          <w:p w14:paraId="1F1A8465"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2G3 N2O imputable aux utilisations de produits</w:t>
            </w:r>
          </w:p>
        </w:tc>
        <w:tc>
          <w:tcPr>
            <w:tcW w:w="4111" w:type="dxa"/>
          </w:tcPr>
          <w:p w14:paraId="5755E571"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r w:rsidR="00915B33" w:rsidRPr="00915B33" w14:paraId="4147E31E" w14:textId="77777777" w:rsidTr="00F663BC">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117" w:type="dxa"/>
          </w:tcPr>
          <w:p w14:paraId="37A597D6"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2G4 Autres (veuillez préciser)</w:t>
            </w:r>
          </w:p>
        </w:tc>
        <w:tc>
          <w:tcPr>
            <w:tcW w:w="4111" w:type="dxa"/>
          </w:tcPr>
          <w:p w14:paraId="66BED03F"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bl>
    <w:p w14:paraId="15585B4D" w14:textId="77777777" w:rsidR="00B41364" w:rsidRPr="00915B33" w:rsidRDefault="00B41364" w:rsidP="00B41364">
      <w:pPr>
        <w:pStyle w:val="Soustitre"/>
        <w:numPr>
          <w:ilvl w:val="0"/>
          <w:numId w:val="0"/>
        </w:numPr>
        <w:rPr>
          <w:color w:val="000000" w:themeColor="text1"/>
        </w:rPr>
      </w:pPr>
      <w:bookmarkStart w:id="51" w:name="_Toc489388308"/>
      <w:bookmarkStart w:id="52" w:name="_Toc484010063"/>
    </w:p>
    <w:p w14:paraId="3026E805" w14:textId="23CD499F" w:rsidR="00F27423" w:rsidRPr="00F06B8A" w:rsidRDefault="00F27423" w:rsidP="00BC2557">
      <w:pPr>
        <w:pStyle w:val="Sous-titre"/>
        <w:numPr>
          <w:ilvl w:val="0"/>
          <w:numId w:val="27"/>
        </w:numPr>
        <w:outlineLvl w:val="1"/>
      </w:pPr>
      <w:bookmarkStart w:id="53" w:name="_Toc157935481"/>
      <w:r w:rsidRPr="00F06B8A">
        <w:t>2H Autres</w:t>
      </w:r>
      <w:bookmarkEnd w:id="51"/>
      <w:bookmarkEnd w:id="52"/>
      <w:bookmarkEnd w:id="53"/>
    </w:p>
    <w:p w14:paraId="5F9FCFBF" w14:textId="5B0B8862"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Selon les statistiques du MCIT, on dénombre cinq fabriques de papier et de pâte à papier, dont deux établies à Nouakchott (SIPE CARTON et MAURISAC) et trois à Nouadhibou (SOMACAR, SPIE et la Mauritano Chinoise de carton</w:t>
      </w:r>
      <w:r w:rsidR="00E04F1A" w:rsidRPr="00915B33">
        <w:rPr>
          <w:rFonts w:ascii="Times New Roman" w:hAnsi="Times New Roman" w:cs="Times New Roman"/>
          <w:color w:val="000000" w:themeColor="text1"/>
        </w:rPr>
        <w:t>). Elles</w:t>
      </w:r>
      <w:r w:rsidRPr="00915B33">
        <w:rPr>
          <w:rFonts w:ascii="Times New Roman" w:hAnsi="Times New Roman" w:cs="Times New Roman"/>
          <w:color w:val="000000" w:themeColor="text1"/>
        </w:rPr>
        <w:t xml:space="preserve"> sont spécialisées dans la production de cartons d’emballage et de sacs en kraft.</w:t>
      </w:r>
    </w:p>
    <w:p w14:paraId="647BF316" w14:textId="1547A19A" w:rsidR="009D1B65" w:rsidRPr="00915B33" w:rsidRDefault="009D1B65" w:rsidP="00B02B7B">
      <w:pPr>
        <w:spacing w:line="360" w:lineRule="auto"/>
        <w:jc w:val="both"/>
        <w:rPr>
          <w:rFonts w:ascii="Times New Roman" w:hAnsi="Times New Roman" w:cs="Times New Roman"/>
          <w:color w:val="000000" w:themeColor="text1"/>
        </w:rPr>
      </w:pPr>
    </w:p>
    <w:p w14:paraId="780F526E" w14:textId="77777777" w:rsidR="00B41364" w:rsidRPr="00915B33" w:rsidRDefault="00B41364" w:rsidP="00B02B7B">
      <w:pPr>
        <w:spacing w:line="360" w:lineRule="auto"/>
        <w:jc w:val="both"/>
        <w:rPr>
          <w:rFonts w:ascii="Times New Roman" w:hAnsi="Times New Roman" w:cs="Times New Roman"/>
          <w:color w:val="000000" w:themeColor="text1"/>
        </w:rPr>
      </w:pPr>
    </w:p>
    <w:p w14:paraId="10F1BA9D" w14:textId="7CD49D92" w:rsidR="00F27423" w:rsidRPr="00915B33" w:rsidRDefault="00F27423" w:rsidP="00B41364">
      <w:pPr>
        <w:pStyle w:val="Soustitre"/>
        <w:numPr>
          <w:ilvl w:val="0"/>
          <w:numId w:val="0"/>
        </w:numPr>
        <w:ind w:left="720"/>
        <w:jc w:val="center"/>
        <w:rPr>
          <w:rFonts w:eastAsia="Times New Roman"/>
          <w:color w:val="000000" w:themeColor="text1"/>
          <w:lang w:eastAsia="fr-FR"/>
        </w:rPr>
      </w:pPr>
      <w:bookmarkStart w:id="54" w:name="_Toc489388309"/>
      <w:bookmarkStart w:id="55" w:name="_Toc484010064"/>
      <w:bookmarkStart w:id="56" w:name="_Toc481096536"/>
      <w:r w:rsidRPr="00915B33">
        <w:rPr>
          <w:color w:val="000000" w:themeColor="text1"/>
        </w:rPr>
        <w:t>Tableau 1</w:t>
      </w:r>
      <w:r w:rsidR="00B41364" w:rsidRPr="00915B33">
        <w:rPr>
          <w:color w:val="000000" w:themeColor="text1"/>
        </w:rPr>
        <w:t>4</w:t>
      </w:r>
      <w:r w:rsidRPr="00915B33">
        <w:rPr>
          <w:color w:val="000000" w:themeColor="text1"/>
        </w:rPr>
        <w:t xml:space="preserve"> : </w:t>
      </w:r>
      <w:r w:rsidRPr="00915B33">
        <w:rPr>
          <w:b w:val="0"/>
          <w:color w:val="000000" w:themeColor="text1"/>
        </w:rPr>
        <w:t>présence en Mauritanie des sous-catégories 2H</w:t>
      </w:r>
      <w:bookmarkEnd w:id="54"/>
      <w:bookmarkEnd w:id="55"/>
      <w:bookmarkEnd w:id="56"/>
    </w:p>
    <w:tbl>
      <w:tblPr>
        <w:tblStyle w:val="TableauListe4-Accentuation11"/>
        <w:tblW w:w="0" w:type="auto"/>
        <w:tblLayout w:type="fixed"/>
        <w:tblLook w:val="0000" w:firstRow="0" w:lastRow="0" w:firstColumn="0" w:lastColumn="0" w:noHBand="0" w:noVBand="0"/>
      </w:tblPr>
      <w:tblGrid>
        <w:gridCol w:w="4692"/>
        <w:gridCol w:w="4536"/>
      </w:tblGrid>
      <w:tr w:rsidR="00915B33" w:rsidRPr="00915B33" w14:paraId="65D1036B" w14:textId="77777777" w:rsidTr="00F663BC">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228" w:type="dxa"/>
            <w:gridSpan w:val="2"/>
          </w:tcPr>
          <w:p w14:paraId="2490E5EA" w14:textId="77777777" w:rsidR="00F27423" w:rsidRPr="00915B33" w:rsidRDefault="00F27423" w:rsidP="00FC1E35">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Catégorie : 2H Autres</w:t>
            </w:r>
          </w:p>
        </w:tc>
      </w:tr>
      <w:tr w:rsidR="00915B33" w:rsidRPr="00915B33" w14:paraId="1DB12CBD" w14:textId="77777777" w:rsidTr="00F663BC">
        <w:trPr>
          <w:trHeight w:val="300"/>
        </w:trPr>
        <w:tc>
          <w:tcPr>
            <w:cnfStyle w:val="000010000000" w:firstRow="0" w:lastRow="0" w:firstColumn="0" w:lastColumn="0" w:oddVBand="1" w:evenVBand="0" w:oddHBand="0" w:evenHBand="0" w:firstRowFirstColumn="0" w:firstRowLastColumn="0" w:lastRowFirstColumn="0" w:lastRowLastColumn="0"/>
            <w:tcW w:w="4692" w:type="dxa"/>
          </w:tcPr>
          <w:p w14:paraId="1E7D0FAB" w14:textId="77777777" w:rsidR="00F27423" w:rsidRPr="00915B33" w:rsidRDefault="00F27423" w:rsidP="00FC1E35">
            <w:pPr>
              <w:spacing w:line="240" w:lineRule="auto"/>
              <w:jc w:val="center"/>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Sous-catégories</w:t>
            </w:r>
          </w:p>
        </w:tc>
        <w:tc>
          <w:tcPr>
            <w:tcW w:w="4536" w:type="dxa"/>
          </w:tcPr>
          <w:p w14:paraId="3ECEC6E6" w14:textId="77777777" w:rsidR="00F27423" w:rsidRPr="00915B33" w:rsidRDefault="00F27423" w:rsidP="00FC1E3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Présence en Mauritanie</w:t>
            </w:r>
          </w:p>
        </w:tc>
      </w:tr>
      <w:tr w:rsidR="00915B33" w:rsidRPr="00915B33" w14:paraId="2B2F5E16" w14:textId="77777777" w:rsidTr="00F663BC">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692" w:type="dxa"/>
          </w:tcPr>
          <w:p w14:paraId="310E1791"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b/>
                <w:color w:val="000000" w:themeColor="text1"/>
                <w:sz w:val="18"/>
                <w:szCs w:val="18"/>
                <w:lang w:eastAsia="fr-FR"/>
              </w:rPr>
              <w:t>2H1 Industrie du papier et de la pâte à papier</w:t>
            </w:r>
          </w:p>
        </w:tc>
        <w:tc>
          <w:tcPr>
            <w:tcW w:w="4536" w:type="dxa"/>
          </w:tcPr>
          <w:p w14:paraId="04AAE567" w14:textId="77777777" w:rsidR="00F27423" w:rsidRPr="00915B33" w:rsidRDefault="00F27423" w:rsidP="00FC1E3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Oui</w:t>
            </w:r>
          </w:p>
        </w:tc>
      </w:tr>
      <w:tr w:rsidR="00915B33" w:rsidRPr="00915B33" w14:paraId="49EE62A6" w14:textId="77777777" w:rsidTr="00F663BC">
        <w:trPr>
          <w:trHeight w:val="300"/>
        </w:trPr>
        <w:tc>
          <w:tcPr>
            <w:cnfStyle w:val="000010000000" w:firstRow="0" w:lastRow="0" w:firstColumn="0" w:lastColumn="0" w:oddVBand="1" w:evenVBand="0" w:oddHBand="0" w:evenHBand="0" w:firstRowFirstColumn="0" w:firstRowLastColumn="0" w:lastRowFirstColumn="0" w:lastRowLastColumn="0"/>
            <w:tcW w:w="4692" w:type="dxa"/>
          </w:tcPr>
          <w:p w14:paraId="53393846"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b/>
                <w:color w:val="000000" w:themeColor="text1"/>
                <w:sz w:val="18"/>
                <w:szCs w:val="18"/>
                <w:lang w:eastAsia="fr-FR"/>
              </w:rPr>
              <w:t>2H2 Industrie alimentaire et des boissons</w:t>
            </w:r>
          </w:p>
        </w:tc>
        <w:tc>
          <w:tcPr>
            <w:tcW w:w="4536" w:type="dxa"/>
          </w:tcPr>
          <w:p w14:paraId="5530BDCE" w14:textId="77777777" w:rsidR="00F27423" w:rsidRPr="00915B33" w:rsidRDefault="00F27423" w:rsidP="00FC1E3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Oui</w:t>
            </w:r>
          </w:p>
        </w:tc>
      </w:tr>
      <w:tr w:rsidR="00915B33" w:rsidRPr="00915B33" w14:paraId="4C9B5E9D" w14:textId="77777777" w:rsidTr="00F663BC">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692" w:type="dxa"/>
          </w:tcPr>
          <w:p w14:paraId="594B59D6" w14:textId="4D69C079"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b/>
                <w:color w:val="000000" w:themeColor="text1"/>
                <w:sz w:val="18"/>
                <w:szCs w:val="18"/>
                <w:lang w:eastAsia="fr-FR"/>
              </w:rPr>
              <w:t>2H</w:t>
            </w:r>
            <w:r w:rsidR="00F663BC" w:rsidRPr="00915B33">
              <w:rPr>
                <w:rFonts w:ascii="Times New Roman" w:eastAsia="Times New Roman" w:hAnsi="Times New Roman" w:cs="Times New Roman"/>
                <w:b/>
                <w:color w:val="000000" w:themeColor="text1"/>
                <w:sz w:val="18"/>
                <w:szCs w:val="18"/>
                <w:lang w:eastAsia="fr-FR"/>
              </w:rPr>
              <w:t>3 Autres</w:t>
            </w:r>
            <w:r w:rsidRPr="00915B33">
              <w:rPr>
                <w:rFonts w:ascii="Times New Roman" w:eastAsia="Times New Roman" w:hAnsi="Times New Roman" w:cs="Times New Roman"/>
                <w:b/>
                <w:color w:val="000000" w:themeColor="text1"/>
                <w:sz w:val="18"/>
                <w:szCs w:val="18"/>
                <w:lang w:eastAsia="fr-FR"/>
              </w:rPr>
              <w:t xml:space="preserve"> (veuillez préciser)</w:t>
            </w:r>
          </w:p>
        </w:tc>
        <w:tc>
          <w:tcPr>
            <w:tcW w:w="4536" w:type="dxa"/>
          </w:tcPr>
          <w:p w14:paraId="3AC25749" w14:textId="77777777" w:rsidR="00F27423" w:rsidRPr="00915B33" w:rsidRDefault="00F27423" w:rsidP="00FC1E3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Non</w:t>
            </w:r>
          </w:p>
        </w:tc>
      </w:tr>
    </w:tbl>
    <w:p w14:paraId="7F8997BB" w14:textId="77777777" w:rsidR="00F27423" w:rsidRPr="00915B33" w:rsidRDefault="00F27423">
      <w:pPr>
        <w:jc w:val="both"/>
        <w:rPr>
          <w:rFonts w:ascii="Times New Roman" w:hAnsi="Times New Roman" w:cs="Times New Roman"/>
          <w:color w:val="000000" w:themeColor="text1"/>
        </w:rPr>
      </w:pPr>
    </w:p>
    <w:p w14:paraId="5C8ED3F2" w14:textId="77777777"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Les procédés industriels de fabrication de papier et de pâte à papier peuvent émettre du CO</w:t>
      </w:r>
      <w:r w:rsidRPr="00915B33">
        <w:rPr>
          <w:rFonts w:ascii="Times New Roman" w:hAnsi="Times New Roman" w:cs="Times New Roman"/>
          <w:color w:val="000000" w:themeColor="text1"/>
          <w:vertAlign w:val="subscript"/>
        </w:rPr>
        <w:t>2</w:t>
      </w:r>
      <w:r w:rsidRPr="00915B33">
        <w:rPr>
          <w:rFonts w:ascii="Times New Roman" w:hAnsi="Times New Roman" w:cs="Times New Roman"/>
          <w:color w:val="000000" w:themeColor="text1"/>
        </w:rPr>
        <w:t xml:space="preserve"> et le CH</w:t>
      </w:r>
      <w:r w:rsidRPr="00915B33">
        <w:rPr>
          <w:rFonts w:ascii="Times New Roman" w:hAnsi="Times New Roman" w:cs="Times New Roman"/>
          <w:color w:val="000000" w:themeColor="text1"/>
          <w:vertAlign w:val="subscript"/>
        </w:rPr>
        <w:t>4</w:t>
      </w:r>
      <w:r w:rsidRPr="00915B33">
        <w:rPr>
          <w:rFonts w:ascii="Times New Roman" w:hAnsi="Times New Roman" w:cs="Times New Roman"/>
          <w:color w:val="000000" w:themeColor="text1"/>
        </w:rPr>
        <w:t>. Toutes les étapes au cours desquelles ces émissions se produisent</w:t>
      </w:r>
      <w:r w:rsidR="00FC1E35" w:rsidRPr="00915B33">
        <w:rPr>
          <w:rFonts w:ascii="Times New Roman" w:hAnsi="Times New Roman" w:cs="Times New Roman"/>
          <w:color w:val="000000" w:themeColor="text1"/>
        </w:rPr>
        <w:t xml:space="preserve"> interviennent</w:t>
      </w:r>
      <w:r w:rsidRPr="00915B33">
        <w:rPr>
          <w:rFonts w:ascii="Times New Roman" w:hAnsi="Times New Roman" w:cs="Times New Roman"/>
          <w:color w:val="000000" w:themeColor="text1"/>
        </w:rPr>
        <w:t xml:space="preserve"> à l’étranger</w:t>
      </w:r>
      <w:r w:rsidR="00FC1E35" w:rsidRPr="00915B33">
        <w:rPr>
          <w:rFonts w:ascii="Times New Roman" w:hAnsi="Times New Roman" w:cs="Times New Roman"/>
          <w:color w:val="000000" w:themeColor="text1"/>
        </w:rPr>
        <w:t>,</w:t>
      </w:r>
      <w:r w:rsidRPr="00915B33">
        <w:rPr>
          <w:rFonts w:ascii="Times New Roman" w:hAnsi="Times New Roman" w:cs="Times New Roman"/>
          <w:color w:val="000000" w:themeColor="text1"/>
        </w:rPr>
        <w:t xml:space="preserve"> car les entreprises mauritaniennes importent un produit fini. </w:t>
      </w:r>
      <w:r w:rsidR="00FC1E35" w:rsidRPr="00915B33">
        <w:rPr>
          <w:rFonts w:ascii="Times New Roman" w:hAnsi="Times New Roman" w:cs="Times New Roman"/>
          <w:color w:val="000000" w:themeColor="text1"/>
        </w:rPr>
        <w:t>Par conséquent, a</w:t>
      </w:r>
      <w:r w:rsidRPr="00915B33">
        <w:rPr>
          <w:rFonts w:ascii="Times New Roman" w:hAnsi="Times New Roman" w:cs="Times New Roman"/>
          <w:color w:val="000000" w:themeColor="text1"/>
        </w:rPr>
        <w:t xml:space="preserve">ucune émission de GES liée à cette sous-catégorie n’est </w:t>
      </w:r>
      <w:r w:rsidR="00FC1E35" w:rsidRPr="00915B33">
        <w:rPr>
          <w:rFonts w:ascii="Times New Roman" w:hAnsi="Times New Roman" w:cs="Times New Roman"/>
          <w:color w:val="000000" w:themeColor="text1"/>
        </w:rPr>
        <w:t xml:space="preserve">donc </w:t>
      </w:r>
      <w:r w:rsidRPr="00915B33">
        <w:rPr>
          <w:rFonts w:ascii="Times New Roman" w:hAnsi="Times New Roman" w:cs="Times New Roman"/>
          <w:color w:val="000000" w:themeColor="text1"/>
        </w:rPr>
        <w:t>à retenir.</w:t>
      </w:r>
    </w:p>
    <w:p w14:paraId="6E65E438" w14:textId="236A0BE7"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La situation est la même pour la sous-catégorie des industries alimentaires et des boissons (2H2). L’activité industrielle des unités de distribution de boissons gazeuses, SOBOMA, Selsabil</w:t>
      </w:r>
      <w:r w:rsidR="00445CE0">
        <w:rPr>
          <w:rFonts w:ascii="Times New Roman" w:hAnsi="Times New Roman" w:cs="Times New Roman"/>
          <w:color w:val="000000" w:themeColor="text1"/>
        </w:rPr>
        <w:t xml:space="preserve"> </w:t>
      </w:r>
      <w:r w:rsidRPr="00915B33">
        <w:rPr>
          <w:rFonts w:ascii="Times New Roman" w:hAnsi="Times New Roman" w:cs="Times New Roman"/>
          <w:color w:val="000000" w:themeColor="text1"/>
        </w:rPr>
        <w:t>Foods</w:t>
      </w:r>
      <w:r w:rsidR="00445CE0">
        <w:rPr>
          <w:rFonts w:ascii="Times New Roman" w:hAnsi="Times New Roman" w:cs="Times New Roman"/>
          <w:color w:val="000000" w:themeColor="text1"/>
        </w:rPr>
        <w:t xml:space="preserve"> </w:t>
      </w:r>
      <w:r w:rsidRPr="00915B33">
        <w:rPr>
          <w:rFonts w:ascii="Times New Roman" w:hAnsi="Times New Roman" w:cs="Times New Roman"/>
          <w:color w:val="000000" w:themeColor="text1"/>
        </w:rPr>
        <w:t>industry et SBAO, se limite essentiellement à la mise en bouteille. Les quantités de carbonate utilisées par les boulangeries et pâtisseries sont jugées insignifiantes pour influencer les émissions nationales.</w:t>
      </w:r>
    </w:p>
    <w:p w14:paraId="55F13B78" w14:textId="77777777" w:rsidR="00F27423" w:rsidRPr="00915B33" w:rsidRDefault="00153B80"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En conclusion, a</w:t>
      </w:r>
      <w:r w:rsidR="00F27423" w:rsidRPr="00915B33">
        <w:rPr>
          <w:rFonts w:ascii="Times New Roman" w:hAnsi="Times New Roman" w:cs="Times New Roman"/>
          <w:color w:val="000000" w:themeColor="text1"/>
        </w:rPr>
        <w:t xml:space="preserve">u terme de cette phase de collecte des données, la principale observation concerne les difficultés d’accès aux données dues à l’absence de bases de données gérées et mises à jour au niveau des structures détentrices des informations, à l’exception de celle de la douane (SYDONIA) qui demeure une source précieuse pour l’inventaire. </w:t>
      </w:r>
    </w:p>
    <w:p w14:paraId="589D3CCA" w14:textId="0B54BB49" w:rsidR="00F27423" w:rsidRPr="00915B33" w:rsidRDefault="00F27423" w:rsidP="006F3249">
      <w:pPr>
        <w:spacing w:line="360" w:lineRule="auto"/>
        <w:jc w:val="center"/>
        <w:rPr>
          <w:rFonts w:ascii="Times New Roman" w:eastAsia="Times New Roman" w:hAnsi="Times New Roman" w:cs="Times New Roman"/>
          <w:b/>
          <w:color w:val="000000" w:themeColor="text1"/>
          <w:lang w:eastAsia="fr-FR"/>
        </w:rPr>
      </w:pPr>
      <w:r w:rsidRPr="00915B33">
        <w:rPr>
          <w:rFonts w:ascii="Times New Roman" w:hAnsi="Times New Roman" w:cs="Times New Roman"/>
          <w:b/>
          <w:color w:val="000000" w:themeColor="text1"/>
        </w:rPr>
        <w:t>Tableau</w:t>
      </w:r>
      <w:r w:rsidRPr="00915B33">
        <w:rPr>
          <w:rFonts w:ascii="Times New Roman" w:hAnsi="Times New Roman" w:cs="Times New Roman"/>
          <w:color w:val="000000" w:themeColor="text1"/>
        </w:rPr>
        <w:t> </w:t>
      </w:r>
      <w:r w:rsidRPr="00915B33">
        <w:rPr>
          <w:rFonts w:ascii="Times New Roman" w:hAnsi="Times New Roman" w:cs="Times New Roman"/>
          <w:b/>
          <w:color w:val="000000" w:themeColor="text1"/>
        </w:rPr>
        <w:t>1</w:t>
      </w:r>
      <w:r w:rsidR="00B41364" w:rsidRPr="00915B33">
        <w:rPr>
          <w:rFonts w:ascii="Times New Roman" w:hAnsi="Times New Roman" w:cs="Times New Roman"/>
          <w:b/>
          <w:color w:val="000000" w:themeColor="text1"/>
        </w:rPr>
        <w:t>5</w:t>
      </w:r>
      <w:r w:rsidR="00A15BC1" w:rsidRPr="00915B33">
        <w:rPr>
          <w:rFonts w:ascii="Times New Roman" w:hAnsi="Times New Roman" w:cs="Times New Roman"/>
          <w:b/>
          <w:color w:val="000000" w:themeColor="text1"/>
        </w:rPr>
        <w:t xml:space="preserve"> </w:t>
      </w:r>
      <w:r w:rsidRPr="00915B33">
        <w:rPr>
          <w:rFonts w:ascii="Times New Roman" w:hAnsi="Times New Roman" w:cs="Times New Roman"/>
          <w:color w:val="000000" w:themeColor="text1"/>
        </w:rPr>
        <w:t xml:space="preserve">: </w:t>
      </w:r>
      <w:r w:rsidR="00B41364" w:rsidRPr="00915B33">
        <w:rPr>
          <w:rFonts w:ascii="Times New Roman" w:hAnsi="Times New Roman" w:cs="Times New Roman"/>
          <w:color w:val="000000" w:themeColor="text1"/>
        </w:rPr>
        <w:t>R</w:t>
      </w:r>
      <w:r w:rsidRPr="00915B33">
        <w:rPr>
          <w:rFonts w:ascii="Times New Roman" w:hAnsi="Times New Roman" w:cs="Times New Roman"/>
          <w:color w:val="000000" w:themeColor="text1"/>
        </w:rPr>
        <w:t>écapitulatif des procédés et/ou usages émetteurs de GES</w:t>
      </w:r>
    </w:p>
    <w:tbl>
      <w:tblPr>
        <w:tblStyle w:val="TableauListe6Couleur-Accentuation41"/>
        <w:tblW w:w="0" w:type="auto"/>
        <w:tblLayout w:type="fixed"/>
        <w:tblLook w:val="0000" w:firstRow="0" w:lastRow="0" w:firstColumn="0" w:lastColumn="0" w:noHBand="0" w:noVBand="0"/>
      </w:tblPr>
      <w:tblGrid>
        <w:gridCol w:w="5412"/>
        <w:gridCol w:w="3537"/>
        <w:gridCol w:w="1064"/>
      </w:tblGrid>
      <w:tr w:rsidR="00915B33" w:rsidRPr="00915B33" w14:paraId="537D19B4" w14:textId="77777777" w:rsidTr="00A15BC1">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5412" w:type="dxa"/>
          </w:tcPr>
          <w:p w14:paraId="2331FEB5" w14:textId="77777777" w:rsidR="00F27423" w:rsidRPr="00915B33" w:rsidRDefault="00F27423">
            <w:pPr>
              <w:spacing w:line="240" w:lineRule="auto"/>
              <w:jc w:val="center"/>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Catégories</w:t>
            </w:r>
          </w:p>
        </w:tc>
        <w:tc>
          <w:tcPr>
            <w:tcW w:w="3537" w:type="dxa"/>
          </w:tcPr>
          <w:p w14:paraId="50052538"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lang w:eastAsia="fr-FR"/>
              </w:rPr>
            </w:pPr>
            <w:r w:rsidRPr="00915B33">
              <w:rPr>
                <w:rFonts w:ascii="Times New Roman" w:eastAsia="Times New Roman" w:hAnsi="Times New Roman" w:cs="Times New Roman"/>
                <w:b/>
                <w:color w:val="000000" w:themeColor="text1"/>
                <w:lang w:eastAsia="fr-FR"/>
              </w:rPr>
              <w:t>Sous-catégories</w:t>
            </w:r>
          </w:p>
        </w:tc>
        <w:tc>
          <w:tcPr>
            <w:cnfStyle w:val="000010000000" w:firstRow="0" w:lastRow="0" w:firstColumn="0" w:lastColumn="0" w:oddVBand="1" w:evenVBand="0" w:oddHBand="0" w:evenHBand="0" w:firstRowFirstColumn="0" w:firstRowLastColumn="0" w:lastRowFirstColumn="0" w:lastRowLastColumn="0"/>
            <w:tcW w:w="1064" w:type="dxa"/>
          </w:tcPr>
          <w:p w14:paraId="7071A969"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b/>
                <w:color w:val="000000" w:themeColor="text1"/>
                <w:lang w:eastAsia="fr-FR"/>
              </w:rPr>
              <w:t>GES</w:t>
            </w:r>
          </w:p>
        </w:tc>
      </w:tr>
      <w:tr w:rsidR="00915B33" w:rsidRPr="00915B33" w14:paraId="30BDE38A" w14:textId="77777777" w:rsidTr="00A15BC1">
        <w:trPr>
          <w:trHeight w:val="313"/>
        </w:trPr>
        <w:tc>
          <w:tcPr>
            <w:cnfStyle w:val="000010000000" w:firstRow="0" w:lastRow="0" w:firstColumn="0" w:lastColumn="0" w:oddVBand="1" w:evenVBand="0" w:oddHBand="0" w:evenHBand="0" w:firstRowFirstColumn="0" w:firstRowLastColumn="0" w:lastRowFirstColumn="0" w:lastRowLastColumn="0"/>
            <w:tcW w:w="5412" w:type="dxa"/>
          </w:tcPr>
          <w:p w14:paraId="014FF246"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2A Industrie minérale</w:t>
            </w:r>
          </w:p>
        </w:tc>
        <w:tc>
          <w:tcPr>
            <w:tcW w:w="3537" w:type="dxa"/>
          </w:tcPr>
          <w:p w14:paraId="730E1FC6" w14:textId="77777777" w:rsidR="00F27423" w:rsidRPr="00915B33" w:rsidRDefault="00F2742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2A1 Production de ciment</w:t>
            </w:r>
          </w:p>
        </w:tc>
        <w:tc>
          <w:tcPr>
            <w:cnfStyle w:val="000010000000" w:firstRow="0" w:lastRow="0" w:firstColumn="0" w:lastColumn="0" w:oddVBand="1" w:evenVBand="0" w:oddHBand="0" w:evenHBand="0" w:firstRowFirstColumn="0" w:firstRowLastColumn="0" w:lastRowFirstColumn="0" w:lastRowLastColumn="0"/>
            <w:tcW w:w="1064" w:type="dxa"/>
          </w:tcPr>
          <w:p w14:paraId="7FE5DF8B"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SO</w:t>
            </w:r>
            <w:r w:rsidRPr="00915B33">
              <w:rPr>
                <w:rFonts w:ascii="Times New Roman" w:eastAsia="Times New Roman" w:hAnsi="Times New Roman" w:cs="Times New Roman"/>
                <w:color w:val="000000" w:themeColor="text1"/>
                <w:vertAlign w:val="subscript"/>
                <w:lang w:eastAsia="fr-FR"/>
              </w:rPr>
              <w:t>2</w:t>
            </w:r>
          </w:p>
        </w:tc>
      </w:tr>
      <w:tr w:rsidR="00915B33" w:rsidRPr="00915B33" w14:paraId="7F8BA956" w14:textId="77777777" w:rsidTr="00A15BC1">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5412" w:type="dxa"/>
          </w:tcPr>
          <w:p w14:paraId="7FCEEB56"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2C Industrie métallique</w:t>
            </w:r>
          </w:p>
        </w:tc>
        <w:tc>
          <w:tcPr>
            <w:tcW w:w="3537" w:type="dxa"/>
          </w:tcPr>
          <w:p w14:paraId="40274A03" w14:textId="2047F58E" w:rsidR="00F27423" w:rsidRPr="00915B33" w:rsidRDefault="00F27423">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2C</w:t>
            </w:r>
            <w:r w:rsidR="00E04F1A" w:rsidRPr="00915B33">
              <w:rPr>
                <w:rFonts w:ascii="Times New Roman" w:eastAsia="Times New Roman" w:hAnsi="Times New Roman" w:cs="Times New Roman"/>
                <w:color w:val="000000" w:themeColor="text1"/>
                <w:lang w:eastAsia="fr-FR"/>
              </w:rPr>
              <w:t>2 Production</w:t>
            </w:r>
            <w:r w:rsidRPr="00915B33">
              <w:rPr>
                <w:rFonts w:ascii="Times New Roman" w:eastAsia="Times New Roman" w:hAnsi="Times New Roman" w:cs="Times New Roman"/>
                <w:color w:val="000000" w:themeColor="text1"/>
                <w:lang w:eastAsia="fr-FR"/>
              </w:rPr>
              <w:t xml:space="preserve"> de ferroalliage</w:t>
            </w:r>
          </w:p>
        </w:tc>
        <w:tc>
          <w:tcPr>
            <w:cnfStyle w:val="000010000000" w:firstRow="0" w:lastRow="0" w:firstColumn="0" w:lastColumn="0" w:oddVBand="1" w:evenVBand="0" w:oddHBand="0" w:evenHBand="0" w:firstRowFirstColumn="0" w:firstRowLastColumn="0" w:lastRowFirstColumn="0" w:lastRowLastColumn="0"/>
            <w:tcW w:w="1064" w:type="dxa"/>
          </w:tcPr>
          <w:p w14:paraId="3E4F3406"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CO</w:t>
            </w:r>
            <w:r w:rsidRPr="00915B33">
              <w:rPr>
                <w:rFonts w:ascii="Times New Roman" w:eastAsia="Times New Roman" w:hAnsi="Times New Roman" w:cs="Times New Roman"/>
                <w:color w:val="000000" w:themeColor="text1"/>
                <w:vertAlign w:val="subscript"/>
                <w:lang w:eastAsia="fr-FR"/>
              </w:rPr>
              <w:t>2</w:t>
            </w:r>
          </w:p>
        </w:tc>
      </w:tr>
      <w:tr w:rsidR="00915B33" w:rsidRPr="00915B33" w14:paraId="56255831" w14:textId="77777777" w:rsidTr="00A15BC1">
        <w:trPr>
          <w:trHeight w:val="313"/>
        </w:trPr>
        <w:tc>
          <w:tcPr>
            <w:cnfStyle w:val="000010000000" w:firstRow="0" w:lastRow="0" w:firstColumn="0" w:lastColumn="0" w:oddVBand="1" w:evenVBand="0" w:oddHBand="0" w:evenHBand="0" w:firstRowFirstColumn="0" w:firstRowLastColumn="0" w:lastRowFirstColumn="0" w:lastRowLastColumn="0"/>
            <w:tcW w:w="5412" w:type="dxa"/>
            <w:vMerge w:val="restart"/>
          </w:tcPr>
          <w:p w14:paraId="20D2641D" w14:textId="34F20BC0" w:rsidR="00F27423" w:rsidRPr="00915B33" w:rsidRDefault="00F27423">
            <w:pPr>
              <w:spacing w:line="240" w:lineRule="auto"/>
              <w:jc w:val="both"/>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 xml:space="preserve">2D </w:t>
            </w:r>
            <w:r w:rsidRPr="00915B33">
              <w:rPr>
                <w:rFonts w:ascii="Times New Roman" w:hAnsi="Times New Roman" w:cs="Times New Roman"/>
                <w:color w:val="000000" w:themeColor="text1"/>
              </w:rPr>
              <w:t xml:space="preserve">Produits non énergétiques provenant de </w:t>
            </w:r>
            <w:r w:rsidR="00E04F1A" w:rsidRPr="00915B33">
              <w:rPr>
                <w:rFonts w:ascii="Times New Roman" w:hAnsi="Times New Roman" w:cs="Times New Roman"/>
                <w:color w:val="000000" w:themeColor="text1"/>
              </w:rPr>
              <w:t>combustibles</w:t>
            </w:r>
            <w:r w:rsidRPr="00915B33">
              <w:rPr>
                <w:rFonts w:ascii="Times New Roman" w:hAnsi="Times New Roman" w:cs="Times New Roman"/>
                <w:color w:val="000000" w:themeColor="text1"/>
              </w:rPr>
              <w:t xml:space="preserve"> et de l’utilisation de solvants</w:t>
            </w:r>
          </w:p>
        </w:tc>
        <w:tc>
          <w:tcPr>
            <w:tcW w:w="3537" w:type="dxa"/>
          </w:tcPr>
          <w:p w14:paraId="425775F7" w14:textId="77777777" w:rsidR="00F27423" w:rsidRPr="00915B33" w:rsidRDefault="00F2742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2D1 Lubrifiant</w:t>
            </w:r>
          </w:p>
        </w:tc>
        <w:tc>
          <w:tcPr>
            <w:cnfStyle w:val="000010000000" w:firstRow="0" w:lastRow="0" w:firstColumn="0" w:lastColumn="0" w:oddVBand="1" w:evenVBand="0" w:oddHBand="0" w:evenHBand="0" w:firstRowFirstColumn="0" w:firstRowLastColumn="0" w:lastRowFirstColumn="0" w:lastRowLastColumn="0"/>
            <w:tcW w:w="1064" w:type="dxa"/>
            <w:vMerge w:val="restart"/>
          </w:tcPr>
          <w:p w14:paraId="30555EDF"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COVNM</w:t>
            </w:r>
          </w:p>
        </w:tc>
      </w:tr>
      <w:tr w:rsidR="00915B33" w:rsidRPr="00915B33" w14:paraId="48ACC5CB" w14:textId="77777777" w:rsidTr="00A15BC1">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5412" w:type="dxa"/>
            <w:vMerge/>
          </w:tcPr>
          <w:p w14:paraId="71B53F11"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p>
        </w:tc>
        <w:tc>
          <w:tcPr>
            <w:tcW w:w="3537" w:type="dxa"/>
          </w:tcPr>
          <w:p w14:paraId="51416543" w14:textId="77777777" w:rsidR="00F27423" w:rsidRPr="00915B33" w:rsidRDefault="00F27423">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2D4 Autres (Asphalte)</w:t>
            </w:r>
          </w:p>
        </w:tc>
        <w:tc>
          <w:tcPr>
            <w:cnfStyle w:val="000010000000" w:firstRow="0" w:lastRow="0" w:firstColumn="0" w:lastColumn="0" w:oddVBand="1" w:evenVBand="0" w:oddHBand="0" w:evenHBand="0" w:firstRowFirstColumn="0" w:firstRowLastColumn="0" w:lastRowFirstColumn="0" w:lastRowLastColumn="0"/>
            <w:tcW w:w="1064" w:type="dxa"/>
            <w:vMerge/>
          </w:tcPr>
          <w:p w14:paraId="54D69F5E" w14:textId="77777777" w:rsidR="00F27423" w:rsidRPr="00915B33" w:rsidRDefault="00F27423">
            <w:pPr>
              <w:spacing w:line="240" w:lineRule="auto"/>
              <w:jc w:val="center"/>
              <w:rPr>
                <w:rFonts w:ascii="Times New Roman" w:eastAsia="Times New Roman" w:hAnsi="Times New Roman" w:cs="Times New Roman"/>
                <w:color w:val="000000" w:themeColor="text1"/>
                <w:lang w:eastAsia="fr-FR"/>
              </w:rPr>
            </w:pPr>
          </w:p>
        </w:tc>
      </w:tr>
      <w:tr w:rsidR="00915B33" w:rsidRPr="00915B33" w14:paraId="072963DF" w14:textId="77777777" w:rsidTr="00A15BC1">
        <w:trPr>
          <w:trHeight w:val="328"/>
        </w:trPr>
        <w:tc>
          <w:tcPr>
            <w:cnfStyle w:val="000010000000" w:firstRow="0" w:lastRow="0" w:firstColumn="0" w:lastColumn="0" w:oddVBand="1" w:evenVBand="0" w:oddHBand="0" w:evenHBand="0" w:firstRowFirstColumn="0" w:firstRowLastColumn="0" w:lastRowFirstColumn="0" w:lastRowLastColumn="0"/>
            <w:tcW w:w="5412" w:type="dxa"/>
          </w:tcPr>
          <w:p w14:paraId="272CE51F"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2F Utilisation des produits comme substituts de SAO</w:t>
            </w:r>
          </w:p>
        </w:tc>
        <w:tc>
          <w:tcPr>
            <w:tcW w:w="3537" w:type="dxa"/>
          </w:tcPr>
          <w:p w14:paraId="005EB114" w14:textId="77777777" w:rsidR="00F27423" w:rsidRPr="00915B33" w:rsidRDefault="00F2742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2F1 Réfrigération et climatisation</w:t>
            </w:r>
          </w:p>
        </w:tc>
        <w:tc>
          <w:tcPr>
            <w:cnfStyle w:val="000010000000" w:firstRow="0" w:lastRow="0" w:firstColumn="0" w:lastColumn="0" w:oddVBand="1" w:evenVBand="0" w:oddHBand="0" w:evenHBand="0" w:firstRowFirstColumn="0" w:firstRowLastColumn="0" w:lastRowFirstColumn="0" w:lastRowLastColumn="0"/>
            <w:tcW w:w="1064" w:type="dxa"/>
          </w:tcPr>
          <w:p w14:paraId="4BBC056F"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SF</w:t>
            </w:r>
            <w:r w:rsidRPr="00915B33">
              <w:rPr>
                <w:rFonts w:ascii="Times New Roman" w:eastAsia="Times New Roman" w:hAnsi="Times New Roman" w:cs="Times New Roman"/>
                <w:color w:val="000000" w:themeColor="text1"/>
                <w:vertAlign w:val="subscript"/>
                <w:lang w:eastAsia="fr-FR"/>
              </w:rPr>
              <w:t>6</w:t>
            </w:r>
          </w:p>
        </w:tc>
      </w:tr>
    </w:tbl>
    <w:p w14:paraId="59E91D21" w14:textId="77777777" w:rsidR="00F27423" w:rsidRPr="00915B33" w:rsidRDefault="00F27423">
      <w:pPr>
        <w:jc w:val="both"/>
        <w:rPr>
          <w:rFonts w:ascii="Times New Roman" w:hAnsi="Times New Roman" w:cs="Times New Roman"/>
          <w:color w:val="000000" w:themeColor="text1"/>
        </w:rPr>
      </w:pPr>
    </w:p>
    <w:p w14:paraId="71887C28" w14:textId="77777777" w:rsidR="00B41364" w:rsidRPr="00915B33" w:rsidRDefault="00B41364" w:rsidP="00B41364">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C’est pourquoi, il est suggéré au PFS du MCIT d’entamer un travail de sensibilisation auprès des organismes dépendants de son ministère pour établir un cadre d’échange de données plus rapide pour le besoin de l’IGES.</w:t>
      </w:r>
    </w:p>
    <w:p w14:paraId="1C1007E4" w14:textId="77777777" w:rsidR="00B41364" w:rsidRPr="00915B33" w:rsidRDefault="00B41364" w:rsidP="00B41364">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La prochaine étape de travail portera sur le calcul des émissions issues des procédés industriels et utilisation de produits, tel que récapitulé dans le tableau 15 ci-après.</w:t>
      </w:r>
    </w:p>
    <w:p w14:paraId="5F0F60E4" w14:textId="2A8D0C8B"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Au terme de cette première étape de l’inventaire des gaz à effet de serre du secteur des procédés industriels et u</w:t>
      </w:r>
      <w:r w:rsidR="00984F52" w:rsidRPr="00915B33">
        <w:rPr>
          <w:rFonts w:ascii="Times New Roman" w:hAnsi="Times New Roman" w:cs="Times New Roman"/>
          <w:color w:val="000000" w:themeColor="text1"/>
        </w:rPr>
        <w:t>tili</w:t>
      </w:r>
      <w:r w:rsidRPr="00915B33">
        <w:rPr>
          <w:rFonts w:ascii="Times New Roman" w:hAnsi="Times New Roman" w:cs="Times New Roman"/>
          <w:color w:val="000000" w:themeColor="text1"/>
        </w:rPr>
        <w:t>sa</w:t>
      </w:r>
      <w:r w:rsidR="00984F52" w:rsidRPr="00915B33">
        <w:rPr>
          <w:rFonts w:ascii="Times New Roman" w:hAnsi="Times New Roman" w:cs="Times New Roman"/>
          <w:color w:val="000000" w:themeColor="text1"/>
        </w:rPr>
        <w:t xml:space="preserve">tion </w:t>
      </w:r>
      <w:r w:rsidRPr="00915B33">
        <w:rPr>
          <w:rFonts w:ascii="Times New Roman" w:hAnsi="Times New Roman" w:cs="Times New Roman"/>
          <w:color w:val="000000" w:themeColor="text1"/>
        </w:rPr>
        <w:t>de produits (PIUP), la CCPNCC remercie les directions des entreprises détentrices des informations et leurs services compétents qui ont répondu favorablement à cette enquête de collecte des données.</w:t>
      </w:r>
    </w:p>
    <w:p w14:paraId="6C04E5DD" w14:textId="1CA6A4D6" w:rsidR="00F27423" w:rsidRPr="00915B33" w:rsidRDefault="00F27423" w:rsidP="00BC2557">
      <w:pPr>
        <w:pStyle w:val="Grandtitre"/>
        <w:outlineLvl w:val="0"/>
      </w:pPr>
      <w:bookmarkStart w:id="57" w:name="_Toc489388310"/>
      <w:bookmarkStart w:id="58" w:name="_Toc157935482"/>
      <w:r w:rsidRPr="00947FBA">
        <w:t>Estimation</w:t>
      </w:r>
      <w:r w:rsidRPr="00915B33">
        <w:t xml:space="preserve"> des émissions de GES</w:t>
      </w:r>
      <w:bookmarkEnd w:id="57"/>
      <w:r w:rsidR="00E04F1A" w:rsidRPr="00915B33">
        <w:t xml:space="preserve"> des différents secteurs</w:t>
      </w:r>
      <w:bookmarkEnd w:id="58"/>
    </w:p>
    <w:p w14:paraId="12F343BA" w14:textId="78A5B13C" w:rsidR="00F27423" w:rsidRPr="00915B33" w:rsidRDefault="00957D1D" w:rsidP="00B02B7B">
      <w:pPr>
        <w:spacing w:line="360" w:lineRule="auto"/>
        <w:jc w:val="both"/>
        <w:rPr>
          <w:rFonts w:ascii="Times New Roman" w:hAnsi="Times New Roman" w:cs="Times New Roman"/>
          <w:b/>
          <w:color w:val="000000" w:themeColor="text1"/>
        </w:rPr>
      </w:pPr>
      <w:r w:rsidRPr="00915B33">
        <w:rPr>
          <w:rFonts w:ascii="Times New Roman" w:hAnsi="Times New Roman" w:cs="Times New Roman"/>
          <w:color w:val="000000" w:themeColor="text1"/>
        </w:rPr>
        <w:t>Le tableau</w:t>
      </w:r>
      <w:r w:rsidR="00900FFC" w:rsidRPr="00915B33">
        <w:rPr>
          <w:rFonts w:ascii="Times New Roman" w:hAnsi="Times New Roman" w:cs="Times New Roman"/>
          <w:color w:val="000000" w:themeColor="text1"/>
        </w:rPr>
        <w:t xml:space="preserve"> ci-après </w:t>
      </w:r>
      <w:r w:rsidR="00EC7457" w:rsidRPr="00915B33">
        <w:rPr>
          <w:rFonts w:ascii="Times New Roman" w:hAnsi="Times New Roman" w:cs="Times New Roman"/>
          <w:color w:val="000000" w:themeColor="text1"/>
        </w:rPr>
        <w:t>résum</w:t>
      </w:r>
      <w:r w:rsidR="000D555C" w:rsidRPr="00915B33">
        <w:rPr>
          <w:rFonts w:ascii="Times New Roman" w:hAnsi="Times New Roman" w:cs="Times New Roman"/>
          <w:color w:val="000000" w:themeColor="text1"/>
        </w:rPr>
        <w:t xml:space="preserve">e </w:t>
      </w:r>
      <w:r w:rsidR="00EC7457" w:rsidRPr="00915B33">
        <w:rPr>
          <w:rFonts w:ascii="Times New Roman" w:hAnsi="Times New Roman" w:cs="Times New Roman"/>
          <w:color w:val="000000" w:themeColor="text1"/>
        </w:rPr>
        <w:t>l</w:t>
      </w:r>
      <w:r w:rsidR="00F27423" w:rsidRPr="00915B33">
        <w:rPr>
          <w:rFonts w:ascii="Times New Roman" w:hAnsi="Times New Roman" w:cs="Times New Roman"/>
          <w:color w:val="000000" w:themeColor="text1"/>
        </w:rPr>
        <w:t>es</w:t>
      </w:r>
      <w:r w:rsidR="000D555C" w:rsidRPr="00915B33">
        <w:rPr>
          <w:rFonts w:ascii="Times New Roman" w:hAnsi="Times New Roman" w:cs="Times New Roman"/>
          <w:color w:val="000000" w:themeColor="text1"/>
        </w:rPr>
        <w:t xml:space="preserve"> quantités de gaz à effet de serre (CO</w:t>
      </w:r>
      <w:r w:rsidR="000D555C" w:rsidRPr="00915B33">
        <w:rPr>
          <w:rFonts w:ascii="Times New Roman" w:hAnsi="Times New Roman" w:cs="Times New Roman"/>
          <w:color w:val="000000" w:themeColor="text1"/>
          <w:vertAlign w:val="subscript"/>
        </w:rPr>
        <w:t>2</w:t>
      </w:r>
      <w:r w:rsidR="000D555C" w:rsidRPr="00915B33">
        <w:rPr>
          <w:rFonts w:ascii="Times New Roman" w:hAnsi="Times New Roman" w:cs="Times New Roman"/>
          <w:color w:val="000000" w:themeColor="text1"/>
        </w:rPr>
        <w:t>, CH</w:t>
      </w:r>
      <w:r w:rsidR="000D555C" w:rsidRPr="00915B33">
        <w:rPr>
          <w:rFonts w:ascii="Times New Roman" w:hAnsi="Times New Roman" w:cs="Times New Roman"/>
          <w:color w:val="000000" w:themeColor="text1"/>
          <w:vertAlign w:val="subscript"/>
        </w:rPr>
        <w:t>4</w:t>
      </w:r>
      <w:r w:rsidR="000D555C" w:rsidRPr="00915B33">
        <w:rPr>
          <w:rFonts w:ascii="Times New Roman" w:hAnsi="Times New Roman" w:cs="Times New Roman"/>
          <w:color w:val="000000" w:themeColor="text1"/>
        </w:rPr>
        <w:t>, HFCs-134a, les COVNM et le SO</w:t>
      </w:r>
      <w:r w:rsidR="000D555C" w:rsidRPr="00915B33">
        <w:rPr>
          <w:rFonts w:ascii="Times New Roman" w:hAnsi="Times New Roman" w:cs="Times New Roman"/>
          <w:color w:val="000000" w:themeColor="text1"/>
          <w:vertAlign w:val="subscript"/>
        </w:rPr>
        <w:t xml:space="preserve">2) </w:t>
      </w:r>
      <w:r w:rsidR="000D555C" w:rsidRPr="00915B33">
        <w:rPr>
          <w:rFonts w:ascii="Times New Roman" w:hAnsi="Times New Roman" w:cs="Times New Roman"/>
          <w:color w:val="000000" w:themeColor="text1"/>
        </w:rPr>
        <w:t>des catégories composant les PIUP.  Les valeurs obtenu</w:t>
      </w:r>
      <w:r w:rsidR="00A31DA1" w:rsidRPr="00915B33">
        <w:rPr>
          <w:rFonts w:ascii="Times New Roman" w:hAnsi="Times New Roman" w:cs="Times New Roman"/>
          <w:color w:val="000000" w:themeColor="text1"/>
        </w:rPr>
        <w:t>e</w:t>
      </w:r>
      <w:r w:rsidR="000D555C" w:rsidRPr="00915B33">
        <w:rPr>
          <w:rFonts w:ascii="Times New Roman" w:hAnsi="Times New Roman" w:cs="Times New Roman"/>
          <w:color w:val="000000" w:themeColor="text1"/>
        </w:rPr>
        <w:t>s par les différents gaz demeurent marquées</w:t>
      </w:r>
      <w:r w:rsidR="00037A31" w:rsidRPr="00915B33">
        <w:rPr>
          <w:rFonts w:ascii="Times New Roman" w:hAnsi="Times New Roman" w:cs="Times New Roman"/>
          <w:color w:val="000000" w:themeColor="text1"/>
        </w:rPr>
        <w:t xml:space="preserve"> </w:t>
      </w:r>
      <w:r w:rsidR="00A31DA1" w:rsidRPr="00915B33">
        <w:rPr>
          <w:rFonts w:ascii="Times New Roman" w:hAnsi="Times New Roman" w:cs="Times New Roman"/>
          <w:color w:val="000000" w:themeColor="text1"/>
        </w:rPr>
        <w:t xml:space="preserve">par </w:t>
      </w:r>
      <w:r w:rsidR="00037A31" w:rsidRPr="00915B33">
        <w:rPr>
          <w:rFonts w:ascii="Times New Roman" w:hAnsi="Times New Roman" w:cs="Times New Roman"/>
          <w:color w:val="000000" w:themeColor="text1"/>
        </w:rPr>
        <w:t>des valeurs très proches</w:t>
      </w:r>
      <w:r w:rsidR="00A31DA1" w:rsidRPr="00915B33">
        <w:rPr>
          <w:rFonts w:ascii="Times New Roman" w:hAnsi="Times New Roman" w:cs="Times New Roman"/>
          <w:color w:val="000000" w:themeColor="text1"/>
        </w:rPr>
        <w:t xml:space="preserve"> de celles obtenues lors des exercices précédents.</w:t>
      </w:r>
      <w:r w:rsidR="00F27423" w:rsidRPr="00915B33">
        <w:rPr>
          <w:rFonts w:ascii="Times New Roman" w:hAnsi="Times New Roman" w:cs="Times New Roman"/>
          <w:color w:val="000000" w:themeColor="text1"/>
        </w:rPr>
        <w:t xml:space="preserve"> </w:t>
      </w:r>
    </w:p>
    <w:p w14:paraId="1979F48A" w14:textId="3475CCBC" w:rsidR="00F27423" w:rsidRPr="00915B33" w:rsidRDefault="00F27423">
      <w:pPr>
        <w:jc w:val="center"/>
        <w:rPr>
          <w:rFonts w:ascii="Times New Roman" w:eastAsia="Times New Roman" w:hAnsi="Times New Roman" w:cs="Times New Roman"/>
          <w:color w:val="000000" w:themeColor="text1"/>
          <w:sz w:val="20"/>
          <w:szCs w:val="20"/>
          <w:lang w:eastAsia="fr-FR"/>
        </w:rPr>
      </w:pPr>
      <w:r w:rsidRPr="00915B33">
        <w:rPr>
          <w:rFonts w:ascii="Times New Roman" w:hAnsi="Times New Roman" w:cs="Times New Roman"/>
          <w:b/>
          <w:color w:val="000000" w:themeColor="text1"/>
        </w:rPr>
        <w:t xml:space="preserve">Tableau </w:t>
      </w:r>
      <w:r w:rsidR="00023122" w:rsidRPr="00915B33">
        <w:rPr>
          <w:rFonts w:ascii="Times New Roman" w:hAnsi="Times New Roman" w:cs="Times New Roman"/>
          <w:b/>
          <w:color w:val="000000" w:themeColor="text1"/>
        </w:rPr>
        <w:t>1</w:t>
      </w:r>
      <w:r w:rsidR="00ED20B6" w:rsidRPr="00915B33">
        <w:rPr>
          <w:rFonts w:ascii="Times New Roman" w:hAnsi="Times New Roman" w:cs="Times New Roman"/>
          <w:b/>
          <w:color w:val="000000" w:themeColor="text1"/>
        </w:rPr>
        <w:t>6</w:t>
      </w:r>
      <w:r w:rsidRPr="00915B33">
        <w:rPr>
          <w:rFonts w:ascii="Times New Roman" w:hAnsi="Times New Roman" w:cs="Times New Roman"/>
          <w:b/>
          <w:color w:val="000000" w:themeColor="text1"/>
        </w:rPr>
        <w:t xml:space="preserve"> : </w:t>
      </w:r>
      <w:r w:rsidR="00ED20B6" w:rsidRPr="00915B33">
        <w:rPr>
          <w:rFonts w:ascii="Times New Roman" w:hAnsi="Times New Roman" w:cs="Times New Roman"/>
          <w:color w:val="000000" w:themeColor="text1"/>
        </w:rPr>
        <w:t>S</w:t>
      </w:r>
      <w:r w:rsidRPr="00915B33">
        <w:rPr>
          <w:rFonts w:ascii="Times New Roman" w:hAnsi="Times New Roman" w:cs="Times New Roman"/>
          <w:color w:val="000000" w:themeColor="text1"/>
        </w:rPr>
        <w:t>ynthèse des émissions en GES de l’inventaire 20</w:t>
      </w:r>
      <w:r w:rsidR="000E609F" w:rsidRPr="00915B33">
        <w:rPr>
          <w:rFonts w:ascii="Times New Roman" w:hAnsi="Times New Roman" w:cs="Times New Roman"/>
          <w:color w:val="000000" w:themeColor="text1"/>
        </w:rPr>
        <w:t>22</w:t>
      </w:r>
    </w:p>
    <w:tbl>
      <w:tblPr>
        <w:tblStyle w:val="TableauListe4-Accentuation11"/>
        <w:tblW w:w="10800" w:type="dxa"/>
        <w:jc w:val="center"/>
        <w:tblLook w:val="04A0" w:firstRow="1" w:lastRow="0" w:firstColumn="1" w:lastColumn="0" w:noHBand="0" w:noVBand="1"/>
      </w:tblPr>
      <w:tblGrid>
        <w:gridCol w:w="1363"/>
        <w:gridCol w:w="1178"/>
        <w:gridCol w:w="1182"/>
        <w:gridCol w:w="1177"/>
        <w:gridCol w:w="1180"/>
        <w:gridCol w:w="1179"/>
        <w:gridCol w:w="1175"/>
        <w:gridCol w:w="1189"/>
        <w:gridCol w:w="1177"/>
      </w:tblGrid>
      <w:tr w:rsidR="00915B33" w:rsidRPr="00915B33" w14:paraId="25E76D99" w14:textId="77777777" w:rsidTr="008E6F5A">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1200" w:type="dxa"/>
          </w:tcPr>
          <w:p w14:paraId="116BF3DD" w14:textId="77777777" w:rsidR="008E6F5A" w:rsidRPr="00915B33" w:rsidRDefault="008E6F5A" w:rsidP="0019411C">
            <w:pPr>
              <w:suppressAutoHyphens w:val="0"/>
              <w:spacing w:after="0" w:line="240" w:lineRule="auto"/>
              <w:jc w:val="center"/>
              <w:rPr>
                <w:rFonts w:ascii="Times New Roman" w:eastAsia="Times New Roman" w:hAnsi="Times New Roman" w:cs="Times New Roman"/>
                <w:color w:val="000000" w:themeColor="text1"/>
                <w:kern w:val="0"/>
                <w:sz w:val="20"/>
                <w:szCs w:val="20"/>
                <w:lang w:eastAsia="fr-CA"/>
              </w:rPr>
            </w:pPr>
          </w:p>
        </w:tc>
        <w:tc>
          <w:tcPr>
            <w:tcW w:w="1200" w:type="dxa"/>
          </w:tcPr>
          <w:p w14:paraId="75772412" w14:textId="77777777" w:rsidR="008E6F5A" w:rsidRPr="00915B33" w:rsidRDefault="008E6F5A" w:rsidP="00615A27">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fr-CA"/>
              </w:rPr>
            </w:pPr>
          </w:p>
        </w:tc>
        <w:tc>
          <w:tcPr>
            <w:tcW w:w="1200" w:type="dxa"/>
          </w:tcPr>
          <w:p w14:paraId="76AFCEFB" w14:textId="77777777" w:rsidR="008E6F5A" w:rsidRPr="00915B33" w:rsidRDefault="008E6F5A" w:rsidP="00615A27">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fr-CA"/>
              </w:rPr>
            </w:pPr>
          </w:p>
        </w:tc>
        <w:tc>
          <w:tcPr>
            <w:tcW w:w="1200" w:type="dxa"/>
          </w:tcPr>
          <w:p w14:paraId="51A46A8B" w14:textId="77777777" w:rsidR="008E6F5A" w:rsidRPr="00915B33" w:rsidRDefault="008E6F5A" w:rsidP="00615A27">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fr-CA"/>
              </w:rPr>
            </w:pPr>
          </w:p>
        </w:tc>
        <w:tc>
          <w:tcPr>
            <w:tcW w:w="1200" w:type="dxa"/>
          </w:tcPr>
          <w:p w14:paraId="2B983DF9" w14:textId="77777777" w:rsidR="008E6F5A" w:rsidRPr="00915B33" w:rsidRDefault="008E6F5A" w:rsidP="00615A27">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fr-CA"/>
              </w:rPr>
            </w:pPr>
          </w:p>
        </w:tc>
        <w:tc>
          <w:tcPr>
            <w:tcW w:w="1200" w:type="dxa"/>
          </w:tcPr>
          <w:p w14:paraId="0A8E4D61" w14:textId="77777777" w:rsidR="008E6F5A" w:rsidRPr="00915B33" w:rsidRDefault="008E6F5A" w:rsidP="00615A27">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fr-CA"/>
              </w:rPr>
            </w:pPr>
          </w:p>
        </w:tc>
        <w:tc>
          <w:tcPr>
            <w:tcW w:w="1200" w:type="dxa"/>
          </w:tcPr>
          <w:p w14:paraId="103B4680" w14:textId="77777777" w:rsidR="008E6F5A" w:rsidRPr="00915B33" w:rsidRDefault="008E6F5A" w:rsidP="00615A27">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fr-CA"/>
              </w:rPr>
            </w:pPr>
          </w:p>
        </w:tc>
        <w:tc>
          <w:tcPr>
            <w:tcW w:w="1200" w:type="dxa"/>
          </w:tcPr>
          <w:p w14:paraId="4D0C622F" w14:textId="77777777" w:rsidR="008E6F5A" w:rsidRPr="00915B33" w:rsidRDefault="008E6F5A" w:rsidP="00615A27">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fr-CA"/>
              </w:rPr>
            </w:pPr>
          </w:p>
        </w:tc>
        <w:tc>
          <w:tcPr>
            <w:tcW w:w="1200" w:type="dxa"/>
          </w:tcPr>
          <w:p w14:paraId="6F1F7C10" w14:textId="77777777" w:rsidR="008E6F5A" w:rsidRPr="00915B33" w:rsidRDefault="008E6F5A" w:rsidP="00615A27">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fr-CA"/>
              </w:rPr>
            </w:pPr>
          </w:p>
        </w:tc>
      </w:tr>
      <w:tr w:rsidR="00915B33" w:rsidRPr="00915B33" w14:paraId="741BCE7E" w14:textId="77777777" w:rsidTr="008E6F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vMerge w:val="restart"/>
            <w:hideMark/>
          </w:tcPr>
          <w:p w14:paraId="4792C076" w14:textId="77777777" w:rsidR="00615A27" w:rsidRPr="00915B33" w:rsidRDefault="00615A27" w:rsidP="00615A27">
            <w:pPr>
              <w:suppressAutoHyphens w:val="0"/>
              <w:spacing w:after="0" w:line="240" w:lineRule="auto"/>
              <w:jc w:val="both"/>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3600" w:type="dxa"/>
            <w:gridSpan w:val="3"/>
            <w:hideMark/>
          </w:tcPr>
          <w:p w14:paraId="63EE3D64" w14:textId="77777777" w:rsidR="00615A27" w:rsidRPr="00915B33" w:rsidRDefault="00615A27" w:rsidP="00615A27">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0"/>
                <w:szCs w:val="20"/>
                <w:lang w:val="fr-CA" w:eastAsia="fr-CA"/>
              </w:rPr>
            </w:pPr>
            <w:r w:rsidRPr="00915B33">
              <w:rPr>
                <w:rFonts w:ascii="Times New Roman" w:eastAsia="Times New Roman" w:hAnsi="Times New Roman" w:cs="Times New Roman"/>
                <w:color w:val="000000" w:themeColor="text1"/>
                <w:kern w:val="0"/>
                <w:sz w:val="20"/>
                <w:szCs w:val="20"/>
                <w:lang w:eastAsia="fr-CA"/>
              </w:rPr>
              <w:t>Emissions</w:t>
            </w:r>
          </w:p>
        </w:tc>
        <w:tc>
          <w:tcPr>
            <w:tcW w:w="6000" w:type="dxa"/>
            <w:gridSpan w:val="5"/>
            <w:hideMark/>
          </w:tcPr>
          <w:p w14:paraId="45B60CF4" w14:textId="77777777" w:rsidR="00615A27" w:rsidRPr="00915B33" w:rsidRDefault="00615A27" w:rsidP="00615A27">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20"/>
                <w:szCs w:val="20"/>
                <w:lang w:val="fr-CA" w:eastAsia="fr-CA"/>
              </w:rPr>
            </w:pPr>
            <w:r w:rsidRPr="00915B33">
              <w:rPr>
                <w:rFonts w:ascii="Times New Roman" w:eastAsia="Times New Roman" w:hAnsi="Times New Roman" w:cs="Times New Roman"/>
                <w:color w:val="000000" w:themeColor="text1"/>
                <w:kern w:val="0"/>
                <w:sz w:val="20"/>
                <w:szCs w:val="20"/>
                <w:lang w:eastAsia="fr-CA"/>
              </w:rPr>
              <w:t>Emissions</w:t>
            </w:r>
          </w:p>
        </w:tc>
      </w:tr>
      <w:tr w:rsidR="00915B33" w:rsidRPr="00915B33" w14:paraId="603D447D" w14:textId="77777777" w:rsidTr="008E6F5A">
        <w:trPr>
          <w:trHeight w:val="315"/>
          <w:jc w:val="center"/>
        </w:trPr>
        <w:tc>
          <w:tcPr>
            <w:cnfStyle w:val="001000000000" w:firstRow="0" w:lastRow="0" w:firstColumn="1" w:lastColumn="0" w:oddVBand="0" w:evenVBand="0" w:oddHBand="0" w:evenHBand="0" w:firstRowFirstColumn="0" w:firstRowLastColumn="0" w:lastRowFirstColumn="0" w:lastRowLastColumn="0"/>
            <w:tcW w:w="1200" w:type="dxa"/>
            <w:vMerge/>
            <w:hideMark/>
          </w:tcPr>
          <w:p w14:paraId="69CDC084" w14:textId="77777777" w:rsidR="00615A27" w:rsidRPr="00915B33" w:rsidRDefault="00615A27" w:rsidP="00615A27">
            <w:pPr>
              <w:suppressAutoHyphens w:val="0"/>
              <w:spacing w:after="0" w:line="240" w:lineRule="auto"/>
              <w:rPr>
                <w:rFonts w:ascii="Times New Roman" w:eastAsia="Times New Roman" w:hAnsi="Times New Roman" w:cs="Times New Roman"/>
                <w:color w:val="000000" w:themeColor="text1"/>
                <w:kern w:val="0"/>
                <w:sz w:val="16"/>
                <w:szCs w:val="16"/>
                <w:lang w:val="fr-CA" w:eastAsia="fr-CA"/>
              </w:rPr>
            </w:pPr>
          </w:p>
        </w:tc>
        <w:tc>
          <w:tcPr>
            <w:tcW w:w="3600" w:type="dxa"/>
            <w:gridSpan w:val="3"/>
            <w:hideMark/>
          </w:tcPr>
          <w:p w14:paraId="155F74D4" w14:textId="77777777" w:rsidR="00615A27" w:rsidRPr="00915B33" w:rsidRDefault="00615A27" w:rsidP="00615A27">
            <w:pPr>
              <w:suppressAutoHyphens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val="fr-CA" w:eastAsia="fr-CA"/>
              </w:rPr>
            </w:pPr>
            <w:r w:rsidRPr="00915B33">
              <w:rPr>
                <w:rFonts w:ascii="Times New Roman" w:eastAsia="Times New Roman" w:hAnsi="Times New Roman" w:cs="Times New Roman"/>
                <w:color w:val="000000" w:themeColor="text1"/>
                <w:kern w:val="0"/>
                <w:sz w:val="20"/>
                <w:szCs w:val="20"/>
                <w:lang w:val="fr-CA" w:eastAsia="fr-CA"/>
              </w:rPr>
              <w:t>(Gg)</w:t>
            </w:r>
          </w:p>
        </w:tc>
        <w:tc>
          <w:tcPr>
            <w:tcW w:w="6000" w:type="dxa"/>
            <w:gridSpan w:val="5"/>
            <w:hideMark/>
          </w:tcPr>
          <w:p w14:paraId="0A119993" w14:textId="77777777" w:rsidR="00615A27" w:rsidRPr="00915B33" w:rsidRDefault="00615A27" w:rsidP="00615A27">
            <w:pPr>
              <w:suppressAutoHyphens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val="fr-CA" w:eastAsia="fr-CA"/>
              </w:rPr>
            </w:pPr>
            <w:r w:rsidRPr="00915B33">
              <w:rPr>
                <w:rFonts w:ascii="Times New Roman" w:eastAsia="Times New Roman" w:hAnsi="Times New Roman" w:cs="Times New Roman"/>
                <w:color w:val="000000" w:themeColor="text1"/>
                <w:kern w:val="0"/>
                <w:sz w:val="20"/>
                <w:szCs w:val="20"/>
                <w:lang w:val="fr-CA" w:eastAsia="fr-CA"/>
              </w:rPr>
              <w:t>CO</w:t>
            </w:r>
            <w:r w:rsidRPr="00915B33">
              <w:rPr>
                <w:rFonts w:ascii="Times New Roman" w:eastAsia="Times New Roman" w:hAnsi="Times New Roman" w:cs="Times New Roman"/>
                <w:color w:val="000000" w:themeColor="text1"/>
                <w:kern w:val="0"/>
                <w:sz w:val="20"/>
                <w:szCs w:val="20"/>
                <w:vertAlign w:val="subscript"/>
                <w:lang w:val="fr-CA" w:eastAsia="fr-CA"/>
              </w:rPr>
              <w:t>2</w:t>
            </w:r>
            <w:r w:rsidRPr="00915B33">
              <w:rPr>
                <w:rFonts w:ascii="Times New Roman" w:eastAsia="Times New Roman" w:hAnsi="Times New Roman" w:cs="Times New Roman"/>
                <w:color w:val="000000" w:themeColor="text1"/>
                <w:kern w:val="0"/>
                <w:sz w:val="20"/>
                <w:szCs w:val="20"/>
                <w:lang w:val="fr-CA" w:eastAsia="fr-CA"/>
              </w:rPr>
              <w:t xml:space="preserve"> Equivalents (Gg)</w:t>
            </w:r>
          </w:p>
        </w:tc>
      </w:tr>
      <w:tr w:rsidR="00915B33" w:rsidRPr="00915B33" w14:paraId="1744C722" w14:textId="77777777" w:rsidTr="008E6F5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29795012" w14:textId="77777777" w:rsidR="00615A27" w:rsidRPr="00915B33" w:rsidRDefault="00615A27" w:rsidP="00615A27">
            <w:pPr>
              <w:suppressAutoHyphens w:val="0"/>
              <w:spacing w:after="0" w:line="240" w:lineRule="auto"/>
              <w:jc w:val="both"/>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Categories</w:t>
            </w:r>
          </w:p>
        </w:tc>
        <w:tc>
          <w:tcPr>
            <w:tcW w:w="1200" w:type="dxa"/>
            <w:hideMark/>
          </w:tcPr>
          <w:p w14:paraId="2E018228" w14:textId="77777777" w:rsidR="00615A27" w:rsidRPr="00915B33" w:rsidRDefault="00615A27" w:rsidP="00615A27">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CO</w:t>
            </w:r>
            <w:r w:rsidRPr="00915B33">
              <w:rPr>
                <w:rFonts w:ascii="Times New Roman" w:eastAsia="Times New Roman" w:hAnsi="Times New Roman" w:cs="Times New Roman"/>
                <w:color w:val="000000" w:themeColor="text1"/>
                <w:kern w:val="0"/>
                <w:sz w:val="16"/>
                <w:szCs w:val="16"/>
                <w:vertAlign w:val="subscript"/>
                <w:lang w:eastAsia="fr-CA"/>
              </w:rPr>
              <w:t>2</w:t>
            </w:r>
          </w:p>
        </w:tc>
        <w:tc>
          <w:tcPr>
            <w:tcW w:w="1200" w:type="dxa"/>
            <w:hideMark/>
          </w:tcPr>
          <w:p w14:paraId="0AEAF42E" w14:textId="77777777" w:rsidR="00615A27" w:rsidRPr="00915B33" w:rsidRDefault="00615A27" w:rsidP="00615A27">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CH</w:t>
            </w:r>
            <w:r w:rsidRPr="00915B33">
              <w:rPr>
                <w:rFonts w:ascii="Times New Roman" w:eastAsia="Times New Roman" w:hAnsi="Times New Roman" w:cs="Times New Roman"/>
                <w:color w:val="000000" w:themeColor="text1"/>
                <w:kern w:val="0"/>
                <w:sz w:val="16"/>
                <w:szCs w:val="16"/>
                <w:vertAlign w:val="subscript"/>
                <w:lang w:eastAsia="fr-CA"/>
              </w:rPr>
              <w:t>4</w:t>
            </w:r>
          </w:p>
        </w:tc>
        <w:tc>
          <w:tcPr>
            <w:tcW w:w="1200" w:type="dxa"/>
            <w:hideMark/>
          </w:tcPr>
          <w:p w14:paraId="72A62C4D" w14:textId="77777777" w:rsidR="00615A27" w:rsidRPr="00915B33" w:rsidRDefault="00615A27" w:rsidP="00615A27">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N</w:t>
            </w:r>
            <w:r w:rsidRPr="00915B33">
              <w:rPr>
                <w:rFonts w:ascii="Times New Roman" w:eastAsia="Times New Roman" w:hAnsi="Times New Roman" w:cs="Times New Roman"/>
                <w:color w:val="000000" w:themeColor="text1"/>
                <w:kern w:val="0"/>
                <w:sz w:val="16"/>
                <w:szCs w:val="16"/>
                <w:vertAlign w:val="subscript"/>
                <w:lang w:eastAsia="fr-CA"/>
              </w:rPr>
              <w:t>2</w:t>
            </w:r>
            <w:r w:rsidRPr="00915B33">
              <w:rPr>
                <w:rFonts w:ascii="Times New Roman" w:eastAsia="Times New Roman" w:hAnsi="Times New Roman" w:cs="Times New Roman"/>
                <w:color w:val="000000" w:themeColor="text1"/>
                <w:kern w:val="0"/>
                <w:sz w:val="16"/>
                <w:szCs w:val="16"/>
                <w:lang w:eastAsia="fr-CA"/>
              </w:rPr>
              <w:t>O</w:t>
            </w:r>
          </w:p>
        </w:tc>
        <w:tc>
          <w:tcPr>
            <w:tcW w:w="1200" w:type="dxa"/>
            <w:hideMark/>
          </w:tcPr>
          <w:p w14:paraId="6BFE6A86" w14:textId="77777777" w:rsidR="00615A27" w:rsidRPr="00915B33" w:rsidRDefault="00615A27" w:rsidP="00615A27">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HFCs</w:t>
            </w:r>
          </w:p>
        </w:tc>
        <w:tc>
          <w:tcPr>
            <w:tcW w:w="1200" w:type="dxa"/>
            <w:hideMark/>
          </w:tcPr>
          <w:p w14:paraId="1A498DE5" w14:textId="77777777" w:rsidR="00615A27" w:rsidRPr="00915B33" w:rsidRDefault="00615A27" w:rsidP="00615A27">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PFCs</w:t>
            </w:r>
          </w:p>
        </w:tc>
        <w:tc>
          <w:tcPr>
            <w:tcW w:w="1200" w:type="dxa"/>
            <w:hideMark/>
          </w:tcPr>
          <w:p w14:paraId="12D53D5F" w14:textId="77777777" w:rsidR="00615A27" w:rsidRPr="00915B33" w:rsidRDefault="00615A27" w:rsidP="00615A27">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SF</w:t>
            </w:r>
            <w:r w:rsidRPr="00915B33">
              <w:rPr>
                <w:rFonts w:ascii="Times New Roman" w:eastAsia="Times New Roman" w:hAnsi="Times New Roman" w:cs="Times New Roman"/>
                <w:color w:val="000000" w:themeColor="text1"/>
                <w:kern w:val="0"/>
                <w:sz w:val="16"/>
                <w:szCs w:val="16"/>
                <w:vertAlign w:val="subscript"/>
                <w:lang w:eastAsia="fr-CA"/>
              </w:rPr>
              <w:t>6</w:t>
            </w:r>
          </w:p>
        </w:tc>
        <w:tc>
          <w:tcPr>
            <w:tcW w:w="1200" w:type="dxa"/>
            <w:hideMark/>
          </w:tcPr>
          <w:p w14:paraId="19A01B50" w14:textId="77777777" w:rsidR="00615A27" w:rsidRPr="00915B33" w:rsidRDefault="00615A27" w:rsidP="00615A27">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NMVOCs</w:t>
            </w:r>
          </w:p>
        </w:tc>
        <w:tc>
          <w:tcPr>
            <w:tcW w:w="1200" w:type="dxa"/>
            <w:hideMark/>
          </w:tcPr>
          <w:p w14:paraId="2E448F93" w14:textId="77777777" w:rsidR="00615A27" w:rsidRPr="00915B33" w:rsidRDefault="00615A27" w:rsidP="00615A27">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SO</w:t>
            </w:r>
            <w:r w:rsidRPr="00915B33">
              <w:rPr>
                <w:rFonts w:ascii="Times New Roman" w:eastAsia="Times New Roman" w:hAnsi="Times New Roman" w:cs="Times New Roman"/>
                <w:color w:val="000000" w:themeColor="text1"/>
                <w:kern w:val="0"/>
                <w:sz w:val="16"/>
                <w:szCs w:val="16"/>
                <w:vertAlign w:val="subscript"/>
                <w:lang w:eastAsia="fr-CA"/>
              </w:rPr>
              <w:t>2</w:t>
            </w:r>
          </w:p>
        </w:tc>
      </w:tr>
      <w:tr w:rsidR="00915B33" w:rsidRPr="00915B33" w14:paraId="4EA3FA99" w14:textId="77777777" w:rsidTr="008E6F5A">
        <w:trPr>
          <w:trHeight w:val="64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449816D4" w14:textId="77777777" w:rsidR="00615A27" w:rsidRPr="00915B33" w:rsidRDefault="00615A27" w:rsidP="00615A27">
            <w:pPr>
              <w:suppressAutoHyphens w:val="0"/>
              <w:spacing w:after="0" w:line="240" w:lineRule="auto"/>
              <w:rPr>
                <w:rFonts w:ascii="Times New Roman" w:eastAsia="Times New Roman" w:hAnsi="Times New Roman" w:cs="Times New Roman"/>
                <w:color w:val="000000" w:themeColor="text1"/>
                <w:kern w:val="0"/>
                <w:sz w:val="16"/>
                <w:szCs w:val="16"/>
                <w:lang w:val="en-CA" w:eastAsia="fr-CA"/>
              </w:rPr>
            </w:pPr>
            <w:r w:rsidRPr="00915B33">
              <w:rPr>
                <w:rFonts w:ascii="Times New Roman" w:eastAsia="Times New Roman" w:hAnsi="Times New Roman" w:cs="Times New Roman"/>
                <w:color w:val="000000" w:themeColor="text1"/>
                <w:kern w:val="0"/>
                <w:sz w:val="16"/>
                <w:szCs w:val="16"/>
                <w:lang w:val="en-US" w:eastAsia="fr-CA"/>
              </w:rPr>
              <w:t xml:space="preserve">2 - Industrial Processes and Product Use </w:t>
            </w:r>
          </w:p>
        </w:tc>
        <w:tc>
          <w:tcPr>
            <w:tcW w:w="1200" w:type="dxa"/>
            <w:hideMark/>
          </w:tcPr>
          <w:p w14:paraId="19B094B1"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12,13</w:t>
            </w:r>
          </w:p>
        </w:tc>
        <w:tc>
          <w:tcPr>
            <w:tcW w:w="1200" w:type="dxa"/>
            <w:hideMark/>
          </w:tcPr>
          <w:p w14:paraId="2644FD54"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3,00E-05</w:t>
            </w:r>
          </w:p>
        </w:tc>
        <w:tc>
          <w:tcPr>
            <w:tcW w:w="1200" w:type="dxa"/>
            <w:hideMark/>
          </w:tcPr>
          <w:p w14:paraId="3FB74DBE"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762E3DC6"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8,906</w:t>
            </w:r>
          </w:p>
        </w:tc>
        <w:tc>
          <w:tcPr>
            <w:tcW w:w="1200" w:type="dxa"/>
            <w:hideMark/>
          </w:tcPr>
          <w:p w14:paraId="6704C745"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3D5D8319"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477B388A"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8,53</w:t>
            </w:r>
          </w:p>
        </w:tc>
        <w:tc>
          <w:tcPr>
            <w:tcW w:w="1200" w:type="dxa"/>
            <w:hideMark/>
          </w:tcPr>
          <w:p w14:paraId="5D34D388"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0,29</w:t>
            </w:r>
          </w:p>
        </w:tc>
      </w:tr>
      <w:tr w:rsidR="00915B33" w:rsidRPr="00915B33" w14:paraId="5A483256" w14:textId="77777777" w:rsidTr="008E6F5A">
        <w:trPr>
          <w:cnfStyle w:val="000000100000" w:firstRow="0" w:lastRow="0" w:firstColumn="0" w:lastColumn="0" w:oddVBand="0" w:evenVBand="0" w:oddHBand="1" w:evenHBand="0" w:firstRowFirstColumn="0" w:firstRowLastColumn="0" w:lastRowFirstColumn="0" w:lastRowLastColumn="0"/>
          <w:trHeight w:val="690"/>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03D19288" w14:textId="77777777" w:rsidR="00615A27" w:rsidRPr="00915B33" w:rsidRDefault="00615A27" w:rsidP="00615A27">
            <w:pPr>
              <w:suppressAutoHyphens w:val="0"/>
              <w:spacing w:after="0" w:line="240" w:lineRule="auto"/>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xml:space="preserve">   2.A - MineralIndustry</w:t>
            </w:r>
          </w:p>
        </w:tc>
        <w:tc>
          <w:tcPr>
            <w:tcW w:w="1200" w:type="dxa"/>
            <w:hideMark/>
          </w:tcPr>
          <w:p w14:paraId="19EF21CF"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0,00</w:t>
            </w:r>
          </w:p>
        </w:tc>
        <w:tc>
          <w:tcPr>
            <w:tcW w:w="1200" w:type="dxa"/>
            <w:hideMark/>
          </w:tcPr>
          <w:p w14:paraId="05F0B0BC"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7DB8C80D"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34DF9DEC"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1200" w:type="dxa"/>
            <w:hideMark/>
          </w:tcPr>
          <w:p w14:paraId="01BA42AD"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1200" w:type="dxa"/>
            <w:hideMark/>
          </w:tcPr>
          <w:p w14:paraId="619C9574"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1200" w:type="dxa"/>
            <w:hideMark/>
          </w:tcPr>
          <w:p w14:paraId="4F1E5C3B"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5AC53326"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0,29</w:t>
            </w:r>
          </w:p>
        </w:tc>
      </w:tr>
      <w:tr w:rsidR="00915B33" w:rsidRPr="00915B33" w14:paraId="298226ED" w14:textId="77777777" w:rsidTr="008E6F5A">
        <w:trPr>
          <w:trHeight w:val="690"/>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1EBFFEE9" w14:textId="77777777" w:rsidR="00615A27" w:rsidRPr="00915B33" w:rsidRDefault="00615A27" w:rsidP="00615A27">
            <w:pPr>
              <w:suppressAutoHyphens w:val="0"/>
              <w:spacing w:after="0" w:line="240" w:lineRule="auto"/>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xml:space="preserve">   2.B - Chemical Industry</w:t>
            </w:r>
          </w:p>
        </w:tc>
        <w:tc>
          <w:tcPr>
            <w:tcW w:w="1200" w:type="dxa"/>
            <w:hideMark/>
          </w:tcPr>
          <w:p w14:paraId="46A2F92D"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0,00</w:t>
            </w:r>
          </w:p>
        </w:tc>
        <w:tc>
          <w:tcPr>
            <w:tcW w:w="1200" w:type="dxa"/>
            <w:hideMark/>
          </w:tcPr>
          <w:p w14:paraId="753E0697"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678FC77D"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11E4F156"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170B2B70"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228E2E32"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438F0B15"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61A8F314"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r>
      <w:tr w:rsidR="00915B33" w:rsidRPr="00915B33" w14:paraId="04065DDE" w14:textId="77777777" w:rsidTr="008E6F5A">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011C11B7" w14:textId="77777777" w:rsidR="00615A27" w:rsidRPr="00915B33" w:rsidRDefault="00615A27" w:rsidP="00615A27">
            <w:pPr>
              <w:suppressAutoHyphens w:val="0"/>
              <w:spacing w:after="0" w:line="240" w:lineRule="auto"/>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xml:space="preserve">   2.C - MetalIndustry</w:t>
            </w:r>
          </w:p>
        </w:tc>
        <w:tc>
          <w:tcPr>
            <w:tcW w:w="1200" w:type="dxa"/>
            <w:hideMark/>
          </w:tcPr>
          <w:p w14:paraId="2CE05520"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3,33</w:t>
            </w:r>
          </w:p>
        </w:tc>
        <w:tc>
          <w:tcPr>
            <w:tcW w:w="1200" w:type="dxa"/>
            <w:hideMark/>
          </w:tcPr>
          <w:p w14:paraId="352E7695"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3,00E-05</w:t>
            </w:r>
          </w:p>
        </w:tc>
        <w:tc>
          <w:tcPr>
            <w:tcW w:w="1200" w:type="dxa"/>
            <w:hideMark/>
          </w:tcPr>
          <w:p w14:paraId="5287FBD2"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45D486A3"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053DE732"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32DB23AF"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1BF4C519"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1839FF5D"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r>
      <w:tr w:rsidR="00915B33" w:rsidRPr="00915B33" w14:paraId="689DFB77" w14:textId="77777777" w:rsidTr="008E6F5A">
        <w:trPr>
          <w:trHeight w:val="67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034BC147" w14:textId="77777777" w:rsidR="00615A27" w:rsidRPr="00915B33" w:rsidRDefault="00615A27" w:rsidP="00615A27">
            <w:pPr>
              <w:suppressAutoHyphens w:val="0"/>
              <w:spacing w:after="0" w:line="240" w:lineRule="auto"/>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val="en-US" w:eastAsia="fr-CA"/>
              </w:rPr>
              <w:t xml:space="preserve">   2.D - Non-Energy Products </w:t>
            </w:r>
          </w:p>
        </w:tc>
        <w:tc>
          <w:tcPr>
            <w:tcW w:w="1200" w:type="dxa"/>
            <w:vMerge w:val="restart"/>
            <w:hideMark/>
          </w:tcPr>
          <w:p w14:paraId="0C427A0B"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8,80</w:t>
            </w:r>
          </w:p>
        </w:tc>
        <w:tc>
          <w:tcPr>
            <w:tcW w:w="1200" w:type="dxa"/>
            <w:vMerge w:val="restart"/>
            <w:hideMark/>
          </w:tcPr>
          <w:p w14:paraId="6D50A2C8"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vMerge w:val="restart"/>
            <w:hideMark/>
          </w:tcPr>
          <w:p w14:paraId="4981B8A0"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vMerge w:val="restart"/>
            <w:hideMark/>
          </w:tcPr>
          <w:p w14:paraId="1094A4ED"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1200" w:type="dxa"/>
            <w:vMerge w:val="restart"/>
            <w:hideMark/>
          </w:tcPr>
          <w:p w14:paraId="3187C08F"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1200" w:type="dxa"/>
            <w:vMerge w:val="restart"/>
            <w:hideMark/>
          </w:tcPr>
          <w:p w14:paraId="3FF30B16"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1200" w:type="dxa"/>
            <w:vMerge w:val="restart"/>
            <w:hideMark/>
          </w:tcPr>
          <w:p w14:paraId="69FD1C5D"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8,53</w:t>
            </w:r>
          </w:p>
        </w:tc>
        <w:tc>
          <w:tcPr>
            <w:tcW w:w="1200" w:type="dxa"/>
            <w:vMerge w:val="restart"/>
            <w:hideMark/>
          </w:tcPr>
          <w:p w14:paraId="2E35FFAA"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r>
      <w:tr w:rsidR="00915B33" w:rsidRPr="00915B33" w14:paraId="74624410" w14:textId="77777777" w:rsidTr="008E6F5A">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0FC4F4DA" w14:textId="77777777" w:rsidR="00615A27" w:rsidRPr="00915B33" w:rsidRDefault="00615A27" w:rsidP="00615A27">
            <w:pPr>
              <w:suppressAutoHyphens w:val="0"/>
              <w:spacing w:after="0" w:line="240" w:lineRule="auto"/>
              <w:rPr>
                <w:rFonts w:ascii="Times New Roman" w:eastAsia="Times New Roman" w:hAnsi="Times New Roman" w:cs="Times New Roman"/>
                <w:color w:val="000000" w:themeColor="text1"/>
                <w:kern w:val="0"/>
                <w:sz w:val="16"/>
                <w:szCs w:val="16"/>
                <w:lang w:val="en-CA" w:eastAsia="fr-CA"/>
              </w:rPr>
            </w:pPr>
            <w:r w:rsidRPr="00915B33">
              <w:rPr>
                <w:rFonts w:ascii="Times New Roman" w:eastAsia="Times New Roman" w:hAnsi="Times New Roman" w:cs="Times New Roman"/>
                <w:color w:val="000000" w:themeColor="text1"/>
                <w:kern w:val="0"/>
                <w:sz w:val="16"/>
                <w:szCs w:val="16"/>
                <w:lang w:val="en-US" w:eastAsia="fr-CA"/>
              </w:rPr>
              <w:t xml:space="preserve">from Fuels and Solvent Use </w:t>
            </w:r>
          </w:p>
        </w:tc>
        <w:tc>
          <w:tcPr>
            <w:tcW w:w="1200" w:type="dxa"/>
            <w:vMerge/>
            <w:hideMark/>
          </w:tcPr>
          <w:p w14:paraId="11F202E6" w14:textId="77777777" w:rsidR="00615A27" w:rsidRPr="00915B33" w:rsidRDefault="00615A27" w:rsidP="00615A27">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en-CA" w:eastAsia="fr-CA"/>
              </w:rPr>
            </w:pPr>
          </w:p>
        </w:tc>
        <w:tc>
          <w:tcPr>
            <w:tcW w:w="1200" w:type="dxa"/>
            <w:vMerge/>
            <w:hideMark/>
          </w:tcPr>
          <w:p w14:paraId="0C65F1C6" w14:textId="77777777" w:rsidR="00615A27" w:rsidRPr="00915B33" w:rsidRDefault="00615A27" w:rsidP="00615A27">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en-CA" w:eastAsia="fr-CA"/>
              </w:rPr>
            </w:pPr>
          </w:p>
        </w:tc>
        <w:tc>
          <w:tcPr>
            <w:tcW w:w="1200" w:type="dxa"/>
            <w:vMerge/>
            <w:hideMark/>
          </w:tcPr>
          <w:p w14:paraId="3DF8DF98" w14:textId="77777777" w:rsidR="00615A27" w:rsidRPr="00915B33" w:rsidRDefault="00615A27" w:rsidP="00615A27">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en-CA" w:eastAsia="fr-CA"/>
              </w:rPr>
            </w:pPr>
          </w:p>
        </w:tc>
        <w:tc>
          <w:tcPr>
            <w:tcW w:w="1200" w:type="dxa"/>
            <w:vMerge/>
            <w:hideMark/>
          </w:tcPr>
          <w:p w14:paraId="0FA69992" w14:textId="77777777" w:rsidR="00615A27" w:rsidRPr="00915B33" w:rsidRDefault="00615A27" w:rsidP="00615A27">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en-CA" w:eastAsia="fr-CA"/>
              </w:rPr>
            </w:pPr>
          </w:p>
        </w:tc>
        <w:tc>
          <w:tcPr>
            <w:tcW w:w="1200" w:type="dxa"/>
            <w:vMerge/>
            <w:hideMark/>
          </w:tcPr>
          <w:p w14:paraId="055E373B" w14:textId="77777777" w:rsidR="00615A27" w:rsidRPr="00915B33" w:rsidRDefault="00615A27" w:rsidP="00615A27">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en-CA" w:eastAsia="fr-CA"/>
              </w:rPr>
            </w:pPr>
          </w:p>
        </w:tc>
        <w:tc>
          <w:tcPr>
            <w:tcW w:w="1200" w:type="dxa"/>
            <w:vMerge/>
            <w:hideMark/>
          </w:tcPr>
          <w:p w14:paraId="0A7986F6" w14:textId="77777777" w:rsidR="00615A27" w:rsidRPr="00915B33" w:rsidRDefault="00615A27" w:rsidP="00615A27">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en-CA" w:eastAsia="fr-CA"/>
              </w:rPr>
            </w:pPr>
          </w:p>
        </w:tc>
        <w:tc>
          <w:tcPr>
            <w:tcW w:w="1200" w:type="dxa"/>
            <w:vMerge/>
            <w:hideMark/>
          </w:tcPr>
          <w:p w14:paraId="733B4B81" w14:textId="77777777" w:rsidR="00615A27" w:rsidRPr="00915B33" w:rsidRDefault="00615A27" w:rsidP="00615A27">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en-CA" w:eastAsia="fr-CA"/>
              </w:rPr>
            </w:pPr>
          </w:p>
        </w:tc>
        <w:tc>
          <w:tcPr>
            <w:tcW w:w="1200" w:type="dxa"/>
            <w:vMerge/>
            <w:hideMark/>
          </w:tcPr>
          <w:p w14:paraId="44CC8049" w14:textId="77777777" w:rsidR="00615A27" w:rsidRPr="00915B33" w:rsidRDefault="00615A27" w:rsidP="00615A27">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en-CA" w:eastAsia="fr-CA"/>
              </w:rPr>
            </w:pPr>
          </w:p>
        </w:tc>
      </w:tr>
      <w:tr w:rsidR="00915B33" w:rsidRPr="00915B33" w14:paraId="06899FA1" w14:textId="77777777" w:rsidTr="008E6F5A">
        <w:trPr>
          <w:trHeight w:val="690"/>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78DA07F4" w14:textId="77777777" w:rsidR="00615A27" w:rsidRPr="00915B33" w:rsidRDefault="00615A27" w:rsidP="00615A27">
            <w:pPr>
              <w:suppressAutoHyphens w:val="0"/>
              <w:spacing w:after="0" w:line="240" w:lineRule="auto"/>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val="en-CA" w:eastAsia="fr-CA"/>
              </w:rPr>
              <w:t xml:space="preserve">   </w:t>
            </w:r>
            <w:r w:rsidRPr="00915B33">
              <w:rPr>
                <w:rFonts w:ascii="Times New Roman" w:eastAsia="Times New Roman" w:hAnsi="Times New Roman" w:cs="Times New Roman"/>
                <w:color w:val="000000" w:themeColor="text1"/>
                <w:kern w:val="0"/>
                <w:sz w:val="16"/>
                <w:szCs w:val="16"/>
                <w:lang w:eastAsia="fr-CA"/>
              </w:rPr>
              <w:t>2.E - Electronics Industry</w:t>
            </w:r>
          </w:p>
        </w:tc>
        <w:tc>
          <w:tcPr>
            <w:tcW w:w="1200" w:type="dxa"/>
            <w:hideMark/>
          </w:tcPr>
          <w:p w14:paraId="5F701C71"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0,00</w:t>
            </w:r>
          </w:p>
        </w:tc>
        <w:tc>
          <w:tcPr>
            <w:tcW w:w="1200" w:type="dxa"/>
            <w:hideMark/>
          </w:tcPr>
          <w:p w14:paraId="6AFFFE2E"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79C71076"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64CF727B"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0567BD04"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77CAFE3E"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41888EC7"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2EDA44AE"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r>
      <w:tr w:rsidR="00915B33" w:rsidRPr="00915B33" w14:paraId="30DE1521" w14:textId="77777777" w:rsidTr="008E6F5A">
        <w:trPr>
          <w:cnfStyle w:val="000000100000" w:firstRow="0" w:lastRow="0" w:firstColumn="0" w:lastColumn="0" w:oddVBand="0" w:evenVBand="0" w:oddHBand="1" w:evenHBand="0" w:firstRowFirstColumn="0" w:firstRowLastColumn="0" w:lastRowFirstColumn="0" w:lastRowLastColumn="0"/>
          <w:trHeight w:val="67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68BDA3D9" w14:textId="77777777" w:rsidR="00615A27" w:rsidRPr="00915B33" w:rsidRDefault="00615A27" w:rsidP="00615A27">
            <w:pPr>
              <w:suppressAutoHyphens w:val="0"/>
              <w:spacing w:after="0" w:line="240" w:lineRule="auto"/>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val="en-US" w:eastAsia="fr-CA"/>
              </w:rPr>
              <w:t xml:space="preserve">   2.F - Product Uses as Substitutes </w:t>
            </w:r>
          </w:p>
        </w:tc>
        <w:tc>
          <w:tcPr>
            <w:tcW w:w="1200" w:type="dxa"/>
            <w:vMerge w:val="restart"/>
            <w:hideMark/>
          </w:tcPr>
          <w:p w14:paraId="4E43BD28"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val="en-US" w:eastAsia="fr-CA"/>
              </w:rPr>
              <w:t> </w:t>
            </w:r>
          </w:p>
        </w:tc>
        <w:tc>
          <w:tcPr>
            <w:tcW w:w="1200" w:type="dxa"/>
            <w:vMerge w:val="restart"/>
            <w:hideMark/>
          </w:tcPr>
          <w:p w14:paraId="17BC9501"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val="en-US" w:eastAsia="fr-CA"/>
              </w:rPr>
              <w:t> </w:t>
            </w:r>
          </w:p>
        </w:tc>
        <w:tc>
          <w:tcPr>
            <w:tcW w:w="1200" w:type="dxa"/>
            <w:vMerge w:val="restart"/>
            <w:hideMark/>
          </w:tcPr>
          <w:p w14:paraId="38AD094D"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val="en-US" w:eastAsia="fr-CA"/>
              </w:rPr>
              <w:t> </w:t>
            </w:r>
          </w:p>
        </w:tc>
        <w:tc>
          <w:tcPr>
            <w:tcW w:w="1200" w:type="dxa"/>
            <w:vMerge w:val="restart"/>
            <w:hideMark/>
          </w:tcPr>
          <w:p w14:paraId="614AA2D1"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8,906</w:t>
            </w:r>
          </w:p>
        </w:tc>
        <w:tc>
          <w:tcPr>
            <w:tcW w:w="1200" w:type="dxa"/>
            <w:vMerge w:val="restart"/>
            <w:hideMark/>
          </w:tcPr>
          <w:p w14:paraId="07550F96"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vMerge w:val="restart"/>
            <w:hideMark/>
          </w:tcPr>
          <w:p w14:paraId="654390EE"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1200" w:type="dxa"/>
            <w:vMerge w:val="restart"/>
            <w:hideMark/>
          </w:tcPr>
          <w:p w14:paraId="6C1BF770"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vMerge w:val="restart"/>
            <w:hideMark/>
          </w:tcPr>
          <w:p w14:paraId="07F082FF"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r>
      <w:tr w:rsidR="00915B33" w:rsidRPr="00915B33" w14:paraId="44AC067E" w14:textId="77777777" w:rsidTr="008E6F5A">
        <w:trPr>
          <w:trHeight w:val="690"/>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52DD5812" w14:textId="77777777" w:rsidR="00615A27" w:rsidRPr="00915B33" w:rsidRDefault="00615A27" w:rsidP="00615A27">
            <w:pPr>
              <w:suppressAutoHyphens w:val="0"/>
              <w:spacing w:after="0" w:line="240" w:lineRule="auto"/>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val="en-US" w:eastAsia="fr-CA"/>
              </w:rPr>
              <w:t xml:space="preserve">for Ozone Depleting Substances </w:t>
            </w:r>
          </w:p>
        </w:tc>
        <w:tc>
          <w:tcPr>
            <w:tcW w:w="1200" w:type="dxa"/>
            <w:vMerge/>
            <w:hideMark/>
          </w:tcPr>
          <w:p w14:paraId="10889684" w14:textId="77777777" w:rsidR="00615A27" w:rsidRPr="00915B33" w:rsidRDefault="00615A27" w:rsidP="00615A27">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p>
        </w:tc>
        <w:tc>
          <w:tcPr>
            <w:tcW w:w="1200" w:type="dxa"/>
            <w:vMerge/>
            <w:hideMark/>
          </w:tcPr>
          <w:p w14:paraId="6302EF9D" w14:textId="77777777" w:rsidR="00615A27" w:rsidRPr="00915B33" w:rsidRDefault="00615A27" w:rsidP="00615A27">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p>
        </w:tc>
        <w:tc>
          <w:tcPr>
            <w:tcW w:w="1200" w:type="dxa"/>
            <w:vMerge/>
            <w:hideMark/>
          </w:tcPr>
          <w:p w14:paraId="02AF3394" w14:textId="77777777" w:rsidR="00615A27" w:rsidRPr="00915B33" w:rsidRDefault="00615A27" w:rsidP="00615A27">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p>
        </w:tc>
        <w:tc>
          <w:tcPr>
            <w:tcW w:w="1200" w:type="dxa"/>
            <w:vMerge/>
            <w:hideMark/>
          </w:tcPr>
          <w:p w14:paraId="165A6A91" w14:textId="77777777" w:rsidR="00615A27" w:rsidRPr="00915B33" w:rsidRDefault="00615A27" w:rsidP="00615A27">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p>
        </w:tc>
        <w:tc>
          <w:tcPr>
            <w:tcW w:w="1200" w:type="dxa"/>
            <w:vMerge/>
            <w:hideMark/>
          </w:tcPr>
          <w:p w14:paraId="25B70031" w14:textId="77777777" w:rsidR="00615A27" w:rsidRPr="00915B33" w:rsidRDefault="00615A27" w:rsidP="00615A27">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p>
        </w:tc>
        <w:tc>
          <w:tcPr>
            <w:tcW w:w="1200" w:type="dxa"/>
            <w:vMerge/>
            <w:hideMark/>
          </w:tcPr>
          <w:p w14:paraId="788F152A" w14:textId="77777777" w:rsidR="00615A27" w:rsidRPr="00915B33" w:rsidRDefault="00615A27" w:rsidP="00615A27">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p>
        </w:tc>
        <w:tc>
          <w:tcPr>
            <w:tcW w:w="1200" w:type="dxa"/>
            <w:vMerge/>
            <w:hideMark/>
          </w:tcPr>
          <w:p w14:paraId="242BE365" w14:textId="77777777" w:rsidR="00615A27" w:rsidRPr="00915B33" w:rsidRDefault="00615A27" w:rsidP="00615A27">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p>
        </w:tc>
        <w:tc>
          <w:tcPr>
            <w:tcW w:w="1200" w:type="dxa"/>
            <w:vMerge/>
            <w:hideMark/>
          </w:tcPr>
          <w:p w14:paraId="42BF6C56" w14:textId="77777777" w:rsidR="00615A27" w:rsidRPr="00915B33" w:rsidRDefault="00615A27" w:rsidP="00615A27">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p>
        </w:tc>
      </w:tr>
      <w:tr w:rsidR="00915B33" w:rsidRPr="00915B33" w14:paraId="15005F4B" w14:textId="77777777" w:rsidTr="008E6F5A">
        <w:trPr>
          <w:cnfStyle w:val="000000100000" w:firstRow="0" w:lastRow="0" w:firstColumn="0" w:lastColumn="0" w:oddVBand="0" w:evenVBand="0" w:oddHBand="1" w:evenHBand="0" w:firstRowFirstColumn="0" w:firstRowLastColumn="0" w:lastRowFirstColumn="0" w:lastRowLastColumn="0"/>
          <w:trHeight w:val="91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1681F527" w14:textId="77777777" w:rsidR="00615A27" w:rsidRPr="00915B33" w:rsidRDefault="00615A27" w:rsidP="00615A27">
            <w:pPr>
              <w:suppressAutoHyphens w:val="0"/>
              <w:spacing w:after="0" w:line="240" w:lineRule="auto"/>
              <w:rPr>
                <w:rFonts w:ascii="Times New Roman" w:eastAsia="Times New Roman" w:hAnsi="Times New Roman" w:cs="Times New Roman"/>
                <w:color w:val="000000" w:themeColor="text1"/>
                <w:kern w:val="0"/>
                <w:sz w:val="16"/>
                <w:szCs w:val="16"/>
                <w:lang w:val="en-CA" w:eastAsia="fr-CA"/>
              </w:rPr>
            </w:pPr>
            <w:r w:rsidRPr="00915B33">
              <w:rPr>
                <w:rFonts w:ascii="Times New Roman" w:eastAsia="Times New Roman" w:hAnsi="Times New Roman" w:cs="Times New Roman"/>
                <w:color w:val="000000" w:themeColor="text1"/>
                <w:kern w:val="0"/>
                <w:sz w:val="16"/>
                <w:szCs w:val="16"/>
                <w:lang w:val="en-US" w:eastAsia="fr-CA"/>
              </w:rPr>
              <w:t xml:space="preserve">   2.G - Other Product Manufacture and Use </w:t>
            </w:r>
          </w:p>
        </w:tc>
        <w:tc>
          <w:tcPr>
            <w:tcW w:w="1200" w:type="dxa"/>
            <w:hideMark/>
          </w:tcPr>
          <w:p w14:paraId="12A6A9CB"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0,00</w:t>
            </w:r>
          </w:p>
        </w:tc>
        <w:tc>
          <w:tcPr>
            <w:tcW w:w="1200" w:type="dxa"/>
            <w:hideMark/>
          </w:tcPr>
          <w:p w14:paraId="1ECC954F"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2988B2E5"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7C43C1B2"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4E6AC6F2"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715F005C"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649DD071"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1552652E" w14:textId="77777777" w:rsidR="00615A27" w:rsidRPr="00915B33" w:rsidRDefault="00615A27" w:rsidP="00615A27">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r>
      <w:tr w:rsidR="00915B33" w:rsidRPr="00915B33" w14:paraId="2FEB3014" w14:textId="77777777" w:rsidTr="008E6F5A">
        <w:trPr>
          <w:trHeight w:val="31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4A5481F5" w14:textId="77777777" w:rsidR="00615A27" w:rsidRPr="00915B33" w:rsidRDefault="00615A27" w:rsidP="00615A27">
            <w:pPr>
              <w:suppressAutoHyphens w:val="0"/>
              <w:spacing w:after="0" w:line="240" w:lineRule="auto"/>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xml:space="preserve">   2.H - Other</w:t>
            </w:r>
          </w:p>
        </w:tc>
        <w:tc>
          <w:tcPr>
            <w:tcW w:w="1200" w:type="dxa"/>
            <w:hideMark/>
          </w:tcPr>
          <w:p w14:paraId="270A794F"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0,00</w:t>
            </w:r>
          </w:p>
        </w:tc>
        <w:tc>
          <w:tcPr>
            <w:tcW w:w="1200" w:type="dxa"/>
            <w:hideMark/>
          </w:tcPr>
          <w:p w14:paraId="57DC955A"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445A8CBD"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60D60FD7"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1200" w:type="dxa"/>
            <w:hideMark/>
          </w:tcPr>
          <w:p w14:paraId="0F2A9B80"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1200" w:type="dxa"/>
            <w:hideMark/>
          </w:tcPr>
          <w:p w14:paraId="709C42A8"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1200" w:type="dxa"/>
            <w:hideMark/>
          </w:tcPr>
          <w:p w14:paraId="35B619F9"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c>
          <w:tcPr>
            <w:tcW w:w="1200" w:type="dxa"/>
            <w:hideMark/>
          </w:tcPr>
          <w:p w14:paraId="260F3183" w14:textId="77777777" w:rsidR="00615A27" w:rsidRPr="00915B33" w:rsidRDefault="00615A27" w:rsidP="00615A27">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0</w:t>
            </w:r>
          </w:p>
        </w:tc>
      </w:tr>
      <w:tr w:rsidR="00915B33" w:rsidRPr="00915B33" w14:paraId="390A2AB3" w14:textId="77777777" w:rsidTr="008E6F5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6CA03FA9" w14:textId="77777777" w:rsidR="00615A27" w:rsidRPr="00915B33" w:rsidRDefault="00615A27" w:rsidP="00615A27">
            <w:pPr>
              <w:suppressAutoHyphens w:val="0"/>
              <w:spacing w:after="0" w:line="240" w:lineRule="auto"/>
              <w:jc w:val="both"/>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1200" w:type="dxa"/>
            <w:hideMark/>
          </w:tcPr>
          <w:p w14:paraId="5AB732C6" w14:textId="77777777" w:rsidR="00615A27" w:rsidRPr="00915B33" w:rsidRDefault="00615A27" w:rsidP="00615A27">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1200" w:type="dxa"/>
            <w:hideMark/>
          </w:tcPr>
          <w:p w14:paraId="4123C3DA" w14:textId="77777777" w:rsidR="00615A27" w:rsidRPr="00915B33" w:rsidRDefault="00615A27" w:rsidP="00615A27">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1200" w:type="dxa"/>
            <w:hideMark/>
          </w:tcPr>
          <w:p w14:paraId="141D4795" w14:textId="77777777" w:rsidR="00615A27" w:rsidRPr="00915B33" w:rsidRDefault="00615A27" w:rsidP="00615A27">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1200" w:type="dxa"/>
            <w:hideMark/>
          </w:tcPr>
          <w:p w14:paraId="424FDA3F" w14:textId="77777777" w:rsidR="00615A27" w:rsidRPr="00915B33" w:rsidRDefault="00615A27" w:rsidP="00615A27">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1200" w:type="dxa"/>
            <w:hideMark/>
          </w:tcPr>
          <w:p w14:paraId="0C7488CB" w14:textId="77777777" w:rsidR="00615A27" w:rsidRPr="00915B33" w:rsidRDefault="00615A27" w:rsidP="00615A27">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1200" w:type="dxa"/>
            <w:hideMark/>
          </w:tcPr>
          <w:p w14:paraId="6DB0886B" w14:textId="77777777" w:rsidR="00615A27" w:rsidRPr="00915B33" w:rsidRDefault="00615A27" w:rsidP="00615A27">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1200" w:type="dxa"/>
            <w:hideMark/>
          </w:tcPr>
          <w:p w14:paraId="286E6550" w14:textId="77777777" w:rsidR="00615A27" w:rsidRPr="00915B33" w:rsidRDefault="00615A27" w:rsidP="00615A27">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c>
          <w:tcPr>
            <w:tcW w:w="1200" w:type="dxa"/>
            <w:hideMark/>
          </w:tcPr>
          <w:p w14:paraId="2E316C08" w14:textId="77777777" w:rsidR="00615A27" w:rsidRPr="00915B33" w:rsidRDefault="00615A27" w:rsidP="00615A27">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sz w:val="16"/>
                <w:szCs w:val="16"/>
                <w:lang w:val="fr-CA" w:eastAsia="fr-CA"/>
              </w:rPr>
            </w:pPr>
            <w:r w:rsidRPr="00915B33">
              <w:rPr>
                <w:rFonts w:ascii="Times New Roman" w:eastAsia="Times New Roman" w:hAnsi="Times New Roman" w:cs="Times New Roman"/>
                <w:color w:val="000000" w:themeColor="text1"/>
                <w:kern w:val="0"/>
                <w:sz w:val="16"/>
                <w:szCs w:val="16"/>
                <w:lang w:eastAsia="fr-CA"/>
              </w:rPr>
              <w:t> </w:t>
            </w:r>
          </w:p>
        </w:tc>
      </w:tr>
    </w:tbl>
    <w:p w14:paraId="543D65DA" w14:textId="77777777" w:rsidR="00615A27" w:rsidRPr="00915B33" w:rsidRDefault="00615A27">
      <w:pPr>
        <w:jc w:val="both"/>
        <w:rPr>
          <w:rFonts w:ascii="Times New Roman" w:hAnsi="Times New Roman" w:cs="Times New Roman"/>
          <w:b/>
          <w:color w:val="000000" w:themeColor="text1"/>
        </w:rPr>
      </w:pPr>
    </w:p>
    <w:p w14:paraId="4B9CA63D" w14:textId="50E550D4" w:rsidR="00EE51B7" w:rsidRPr="00915B33" w:rsidRDefault="009F6ABE" w:rsidP="00B02B7B">
      <w:pPr>
        <w:spacing w:line="360" w:lineRule="auto"/>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 xml:space="preserve">Le graphique ci-dessous </w:t>
      </w:r>
      <w:r w:rsidR="00F57DD0" w:rsidRPr="00915B33">
        <w:rPr>
          <w:rFonts w:ascii="Times New Roman" w:hAnsi="Times New Roman" w:cs="Times New Roman"/>
          <w:color w:val="000000" w:themeColor="text1"/>
          <w:lang w:eastAsia="fr-FR"/>
        </w:rPr>
        <w:t>illustre</w:t>
      </w:r>
      <w:r w:rsidR="00CE42FC" w:rsidRPr="00915B33">
        <w:rPr>
          <w:rFonts w:ascii="Times New Roman" w:hAnsi="Times New Roman" w:cs="Times New Roman"/>
          <w:color w:val="000000" w:themeColor="text1"/>
          <w:lang w:eastAsia="fr-FR"/>
        </w:rPr>
        <w:t xml:space="preserve"> </w:t>
      </w:r>
      <w:r w:rsidRPr="00915B33">
        <w:rPr>
          <w:rFonts w:ascii="Times New Roman" w:hAnsi="Times New Roman" w:cs="Times New Roman"/>
          <w:color w:val="000000" w:themeColor="text1"/>
          <w:lang w:eastAsia="fr-FR"/>
        </w:rPr>
        <w:t>la part relative des types de gaz à effet de serre attribuables aux PIUP</w:t>
      </w:r>
      <w:r w:rsidR="00CE42FC" w:rsidRPr="00915B33">
        <w:rPr>
          <w:rFonts w:ascii="Times New Roman" w:hAnsi="Times New Roman" w:cs="Times New Roman"/>
          <w:color w:val="000000" w:themeColor="text1"/>
          <w:lang w:eastAsia="fr-FR"/>
        </w:rPr>
        <w:t>. Il montre que</w:t>
      </w:r>
      <w:r w:rsidRPr="00915B33">
        <w:rPr>
          <w:rFonts w:ascii="Times New Roman" w:hAnsi="Times New Roman" w:cs="Times New Roman"/>
          <w:color w:val="000000" w:themeColor="text1"/>
          <w:lang w:eastAsia="fr-FR"/>
        </w:rPr>
        <w:t xml:space="preserve"> </w:t>
      </w:r>
      <w:r w:rsidR="00EE480A" w:rsidRPr="00915B33">
        <w:rPr>
          <w:rFonts w:ascii="Times New Roman" w:hAnsi="Times New Roman" w:cs="Times New Roman"/>
          <w:color w:val="000000" w:themeColor="text1"/>
          <w:lang w:eastAsia="fr-FR"/>
        </w:rPr>
        <w:t>le CO</w:t>
      </w:r>
      <w:r w:rsidR="00EE480A" w:rsidRPr="00915B33">
        <w:rPr>
          <w:rFonts w:ascii="Times New Roman" w:hAnsi="Times New Roman" w:cs="Times New Roman"/>
          <w:color w:val="000000" w:themeColor="text1"/>
          <w:vertAlign w:val="subscript"/>
          <w:lang w:eastAsia="fr-FR"/>
        </w:rPr>
        <w:t>2</w:t>
      </w:r>
      <w:r w:rsidR="00EE480A" w:rsidRPr="00915B33">
        <w:rPr>
          <w:rFonts w:ascii="Times New Roman" w:hAnsi="Times New Roman" w:cs="Times New Roman"/>
          <w:color w:val="000000" w:themeColor="text1"/>
          <w:lang w:eastAsia="fr-FR"/>
        </w:rPr>
        <w:t xml:space="preserve">, </w:t>
      </w:r>
      <w:r w:rsidR="0054158E" w:rsidRPr="00915B33">
        <w:rPr>
          <w:rFonts w:ascii="Times New Roman" w:hAnsi="Times New Roman" w:cs="Times New Roman"/>
          <w:color w:val="000000" w:themeColor="text1"/>
          <w:lang w:eastAsia="fr-FR"/>
        </w:rPr>
        <w:t xml:space="preserve">le </w:t>
      </w:r>
      <w:r w:rsidR="00EE480A" w:rsidRPr="00915B33">
        <w:rPr>
          <w:rFonts w:ascii="Times New Roman" w:hAnsi="Times New Roman" w:cs="Times New Roman"/>
          <w:color w:val="000000" w:themeColor="text1"/>
        </w:rPr>
        <w:t xml:space="preserve">HFCs-134a, et </w:t>
      </w:r>
      <w:r w:rsidR="0054158E" w:rsidRPr="00915B33">
        <w:rPr>
          <w:rFonts w:ascii="Times New Roman" w:hAnsi="Times New Roman" w:cs="Times New Roman"/>
          <w:color w:val="000000" w:themeColor="text1"/>
        </w:rPr>
        <w:t xml:space="preserve">le </w:t>
      </w:r>
      <w:r w:rsidR="00EE480A" w:rsidRPr="00915B33">
        <w:rPr>
          <w:rFonts w:ascii="Times New Roman" w:hAnsi="Times New Roman" w:cs="Times New Roman"/>
          <w:color w:val="000000" w:themeColor="text1"/>
        </w:rPr>
        <w:t>COVNM</w:t>
      </w:r>
      <w:r w:rsidRPr="00915B33">
        <w:rPr>
          <w:rFonts w:ascii="Times New Roman" w:hAnsi="Times New Roman" w:cs="Times New Roman"/>
          <w:color w:val="000000" w:themeColor="text1"/>
          <w:lang w:eastAsia="fr-FR"/>
        </w:rPr>
        <w:t xml:space="preserve"> </w:t>
      </w:r>
      <w:r w:rsidR="00982953" w:rsidRPr="00915B33">
        <w:rPr>
          <w:rFonts w:ascii="Times New Roman" w:hAnsi="Times New Roman" w:cs="Times New Roman"/>
          <w:color w:val="000000" w:themeColor="text1"/>
          <w:lang w:eastAsia="fr-FR"/>
        </w:rPr>
        <w:t>sont les émissions dominantes. Ce trio est dominé par le CO</w:t>
      </w:r>
      <w:r w:rsidR="00982953" w:rsidRPr="00915B33">
        <w:rPr>
          <w:rFonts w:ascii="Times New Roman" w:hAnsi="Times New Roman" w:cs="Times New Roman"/>
          <w:color w:val="000000" w:themeColor="text1"/>
          <w:kern w:val="22"/>
          <w:vertAlign w:val="subscript"/>
          <w:lang w:eastAsia="fr-FR"/>
        </w:rPr>
        <w:t>2</w:t>
      </w:r>
      <w:r w:rsidR="00982953" w:rsidRPr="00915B33">
        <w:rPr>
          <w:rFonts w:ascii="Times New Roman" w:hAnsi="Times New Roman" w:cs="Times New Roman"/>
          <w:color w:val="000000" w:themeColor="text1"/>
          <w:lang w:eastAsia="fr-FR"/>
        </w:rPr>
        <w:t xml:space="preserve"> r</w:t>
      </w:r>
      <w:r w:rsidR="00C44799" w:rsidRPr="00915B33">
        <w:rPr>
          <w:rFonts w:ascii="Times New Roman" w:hAnsi="Times New Roman" w:cs="Times New Roman"/>
          <w:color w:val="000000" w:themeColor="text1"/>
          <w:lang w:eastAsia="fr-FR"/>
        </w:rPr>
        <w:t xml:space="preserve">eprésente 41% des émissions. </w:t>
      </w:r>
      <w:r w:rsidR="00B258D4" w:rsidRPr="00915B33">
        <w:rPr>
          <w:rFonts w:ascii="Times New Roman" w:hAnsi="Times New Roman" w:cs="Times New Roman"/>
          <w:color w:val="000000" w:themeColor="text1"/>
          <w:lang w:eastAsia="fr-FR"/>
        </w:rPr>
        <w:t xml:space="preserve">Les deux autres </w:t>
      </w:r>
      <w:r w:rsidR="005B6F41" w:rsidRPr="00915B33">
        <w:rPr>
          <w:rFonts w:ascii="Times New Roman" w:hAnsi="Times New Roman" w:cs="Times New Roman"/>
          <w:color w:val="000000" w:themeColor="text1"/>
          <w:lang w:eastAsia="fr-FR"/>
        </w:rPr>
        <w:t>ont des valeurs quasi-équivalentes</w:t>
      </w:r>
      <w:r w:rsidR="00B17E86" w:rsidRPr="00915B33">
        <w:rPr>
          <w:rFonts w:ascii="Times New Roman" w:hAnsi="Times New Roman" w:cs="Times New Roman"/>
          <w:color w:val="000000" w:themeColor="text1"/>
          <w:lang w:eastAsia="fr-FR"/>
        </w:rPr>
        <w:t xml:space="preserve"> avec respectivement 30% et 29%. </w:t>
      </w:r>
      <w:r w:rsidR="00A9401E" w:rsidRPr="00915B33">
        <w:rPr>
          <w:rFonts w:ascii="Times New Roman" w:hAnsi="Times New Roman" w:cs="Times New Roman"/>
          <w:color w:val="000000" w:themeColor="text1"/>
          <w:lang w:eastAsia="fr-FR"/>
        </w:rPr>
        <w:t xml:space="preserve">Les </w:t>
      </w:r>
      <w:r w:rsidR="00EE51B7" w:rsidRPr="00915B33">
        <w:rPr>
          <w:rFonts w:ascii="Times New Roman" w:hAnsi="Times New Roman" w:cs="Times New Roman"/>
          <w:color w:val="000000" w:themeColor="text1"/>
          <w:lang w:eastAsia="fr-FR"/>
        </w:rPr>
        <w:t xml:space="preserve">quantités des </w:t>
      </w:r>
      <w:r w:rsidR="00A9401E" w:rsidRPr="00915B33">
        <w:rPr>
          <w:rFonts w:ascii="Times New Roman" w:hAnsi="Times New Roman" w:cs="Times New Roman"/>
          <w:color w:val="000000" w:themeColor="text1"/>
          <w:lang w:eastAsia="fr-FR"/>
        </w:rPr>
        <w:t>émissions de CH</w:t>
      </w:r>
      <w:r w:rsidR="00A9401E" w:rsidRPr="00915B33">
        <w:rPr>
          <w:rFonts w:ascii="Times New Roman" w:hAnsi="Times New Roman" w:cs="Times New Roman"/>
          <w:color w:val="000000" w:themeColor="text1"/>
          <w:vertAlign w:val="subscript"/>
          <w:lang w:eastAsia="fr-FR"/>
        </w:rPr>
        <w:t>4</w:t>
      </w:r>
      <w:r w:rsidR="00A9401E" w:rsidRPr="00915B33">
        <w:rPr>
          <w:rFonts w:ascii="Times New Roman" w:hAnsi="Times New Roman" w:cs="Times New Roman"/>
          <w:color w:val="000000" w:themeColor="text1"/>
          <w:lang w:eastAsia="fr-FR"/>
        </w:rPr>
        <w:t xml:space="preserve"> et SO</w:t>
      </w:r>
      <w:r w:rsidR="00A9401E" w:rsidRPr="00915B33">
        <w:rPr>
          <w:rFonts w:ascii="Times New Roman" w:hAnsi="Times New Roman" w:cs="Times New Roman"/>
          <w:color w:val="000000" w:themeColor="text1"/>
          <w:vertAlign w:val="subscript"/>
          <w:lang w:eastAsia="fr-FR"/>
        </w:rPr>
        <w:t>2</w:t>
      </w:r>
      <w:r w:rsidR="00A9401E" w:rsidRPr="00915B33">
        <w:rPr>
          <w:rFonts w:ascii="Times New Roman" w:hAnsi="Times New Roman" w:cs="Times New Roman"/>
          <w:color w:val="000000" w:themeColor="text1"/>
          <w:lang w:eastAsia="fr-FR"/>
        </w:rPr>
        <w:t xml:space="preserve"> </w:t>
      </w:r>
      <w:r w:rsidR="00EE51B7" w:rsidRPr="00915B33">
        <w:rPr>
          <w:rFonts w:ascii="Times New Roman" w:hAnsi="Times New Roman" w:cs="Times New Roman"/>
          <w:color w:val="000000" w:themeColor="text1"/>
          <w:lang w:eastAsia="fr-FR"/>
        </w:rPr>
        <w:t>sont inférieures à 1%.</w:t>
      </w:r>
    </w:p>
    <w:p w14:paraId="66D759B2" w14:textId="1190EB26" w:rsidR="00F27423" w:rsidRPr="00915B33" w:rsidRDefault="00F27423">
      <w:pPr>
        <w:jc w:val="both"/>
        <w:rPr>
          <w:rFonts w:ascii="Times New Roman" w:hAnsi="Times New Roman" w:cs="Times New Roman"/>
          <w:color w:val="000000" w:themeColor="text1"/>
        </w:rPr>
      </w:pPr>
      <w:r w:rsidRPr="00915B33">
        <w:rPr>
          <w:rFonts w:ascii="Times New Roman" w:hAnsi="Times New Roman" w:cs="Times New Roman"/>
          <w:color w:val="000000" w:themeColor="text1"/>
          <w:lang w:eastAsia="fr-FR"/>
        </w:rPr>
        <w:t xml:space="preserve">  </w:t>
      </w:r>
    </w:p>
    <w:p w14:paraId="6E98FE44" w14:textId="029963DB" w:rsidR="00F27423" w:rsidRPr="00915B33" w:rsidRDefault="00FE64A5" w:rsidP="00F27423">
      <w:pPr>
        <w:jc w:val="center"/>
        <w:rPr>
          <w:rFonts w:ascii="Times New Roman" w:hAnsi="Times New Roman" w:cs="Times New Roman"/>
          <w:b/>
          <w:color w:val="000000" w:themeColor="text1"/>
        </w:rPr>
      </w:pPr>
      <w:r w:rsidRPr="00915B33">
        <w:rPr>
          <w:noProof/>
          <w:color w:val="000000" w:themeColor="text1"/>
          <w:u w:val="single"/>
        </w:rPr>
        <w:drawing>
          <wp:inline distT="0" distB="0" distL="0" distR="0" wp14:anchorId="5198681A" wp14:editId="0AD56A9C">
            <wp:extent cx="5760720" cy="3954145"/>
            <wp:effectExtent l="0" t="0" r="0" b="0"/>
            <wp:docPr id="14" name="Graphique 14">
              <a:extLst xmlns:a="http://schemas.openxmlformats.org/drawingml/2006/main">
                <a:ext uri="{FF2B5EF4-FFF2-40B4-BE49-F238E27FC236}">
                  <a16:creationId xmlns:a16="http://schemas.microsoft.com/office/drawing/2014/main" id="{2178ACAD-3F71-0854-7546-143C8F4716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5F7986" w14:textId="4128A31C" w:rsidR="00F27423" w:rsidRPr="00915B33" w:rsidRDefault="00F27423">
      <w:pPr>
        <w:jc w:val="center"/>
        <w:rPr>
          <w:rFonts w:ascii="Times New Roman" w:hAnsi="Times New Roman" w:cs="Times New Roman"/>
          <w:color w:val="000000" w:themeColor="text1"/>
          <w:lang w:eastAsia="fr-FR"/>
        </w:rPr>
      </w:pPr>
      <w:r w:rsidRPr="00915B33">
        <w:rPr>
          <w:rFonts w:ascii="Times New Roman" w:hAnsi="Times New Roman" w:cs="Times New Roman"/>
          <w:b/>
          <w:color w:val="000000" w:themeColor="text1"/>
        </w:rPr>
        <w:t xml:space="preserve">Graphique </w:t>
      </w:r>
      <w:r w:rsidRPr="00915B33">
        <w:rPr>
          <w:rFonts w:ascii="Times New Roman" w:hAnsi="Times New Roman" w:cs="Times New Roman"/>
          <w:b/>
          <w:color w:val="000000" w:themeColor="text1"/>
          <w:lang w:eastAsia="fr-FR"/>
        </w:rPr>
        <w:t>3</w:t>
      </w:r>
      <w:r w:rsidRPr="00915B33">
        <w:rPr>
          <w:rFonts w:ascii="Times New Roman" w:hAnsi="Times New Roman" w:cs="Times New Roman"/>
          <w:color w:val="000000" w:themeColor="text1"/>
          <w:lang w:eastAsia="fr-FR"/>
        </w:rPr>
        <w:t xml:space="preserve"> : </w:t>
      </w:r>
      <w:r w:rsidRPr="00915B33">
        <w:rPr>
          <w:rFonts w:ascii="Times New Roman" w:hAnsi="Times New Roman" w:cs="Times New Roman"/>
          <w:bCs/>
          <w:color w:val="000000" w:themeColor="text1"/>
        </w:rPr>
        <w:t xml:space="preserve">Proportions respectives des principaux GES </w:t>
      </w:r>
      <w:r w:rsidR="00023122" w:rsidRPr="00915B33">
        <w:rPr>
          <w:rFonts w:ascii="Times New Roman" w:hAnsi="Times New Roman" w:cs="Times New Roman"/>
          <w:bCs/>
          <w:color w:val="000000" w:themeColor="text1"/>
          <w:lang w:eastAsia="fr-FR"/>
        </w:rPr>
        <w:t>du secteur des PIUP en 20</w:t>
      </w:r>
      <w:r w:rsidR="00EE51B7" w:rsidRPr="00915B33">
        <w:rPr>
          <w:rFonts w:ascii="Times New Roman" w:hAnsi="Times New Roman" w:cs="Times New Roman"/>
          <w:bCs/>
          <w:color w:val="000000" w:themeColor="text1"/>
          <w:lang w:eastAsia="fr-FR"/>
        </w:rPr>
        <w:t>22</w:t>
      </w:r>
    </w:p>
    <w:p w14:paraId="2FC60F94" w14:textId="4A459344" w:rsidR="00F27423" w:rsidRPr="00915B33" w:rsidRDefault="00F27423" w:rsidP="00B02B7B">
      <w:pPr>
        <w:spacing w:line="360" w:lineRule="auto"/>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Les émissions de CO</w:t>
      </w:r>
      <w:r w:rsidRPr="00915B33">
        <w:rPr>
          <w:rFonts w:ascii="Times New Roman" w:hAnsi="Times New Roman" w:cs="Times New Roman"/>
          <w:color w:val="000000" w:themeColor="text1"/>
          <w:vertAlign w:val="subscript"/>
          <w:lang w:eastAsia="fr-FR"/>
        </w:rPr>
        <w:t>2</w:t>
      </w:r>
      <w:r w:rsidRPr="00915B33">
        <w:rPr>
          <w:rFonts w:ascii="Times New Roman" w:hAnsi="Times New Roman" w:cs="Times New Roman"/>
          <w:color w:val="000000" w:themeColor="text1"/>
          <w:lang w:eastAsia="fr-FR"/>
        </w:rPr>
        <w:t xml:space="preserve"> et de CH</w:t>
      </w:r>
      <w:r w:rsidRPr="00915B33">
        <w:rPr>
          <w:rFonts w:ascii="Times New Roman" w:hAnsi="Times New Roman" w:cs="Times New Roman"/>
          <w:color w:val="000000" w:themeColor="text1"/>
          <w:vertAlign w:val="subscript"/>
          <w:lang w:eastAsia="fr-FR"/>
        </w:rPr>
        <w:t>4</w:t>
      </w:r>
      <w:r w:rsidRPr="00915B33">
        <w:rPr>
          <w:rFonts w:ascii="Times New Roman" w:hAnsi="Times New Roman" w:cs="Times New Roman"/>
          <w:color w:val="000000" w:themeColor="text1"/>
          <w:lang w:eastAsia="fr-FR"/>
        </w:rPr>
        <w:t xml:space="preserve"> émanent prin</w:t>
      </w:r>
      <w:r w:rsidR="00A32158" w:rsidRPr="00915B33">
        <w:rPr>
          <w:rFonts w:ascii="Times New Roman" w:hAnsi="Times New Roman" w:cs="Times New Roman"/>
          <w:color w:val="000000" w:themeColor="text1"/>
          <w:lang w:eastAsia="fr-FR"/>
        </w:rPr>
        <w:t>c</w:t>
      </w:r>
      <w:r w:rsidRPr="00915B33">
        <w:rPr>
          <w:rFonts w:ascii="Times New Roman" w:hAnsi="Times New Roman" w:cs="Times New Roman"/>
          <w:color w:val="000000" w:themeColor="text1"/>
          <w:lang w:eastAsia="fr-FR"/>
        </w:rPr>
        <w:t xml:space="preserve">ipalement des activités de production de ferroalliage de l’industrie métallique des </w:t>
      </w:r>
      <w:r w:rsidR="00A32158" w:rsidRPr="00915B33">
        <w:rPr>
          <w:rFonts w:ascii="Times New Roman" w:hAnsi="Times New Roman" w:cs="Times New Roman"/>
          <w:color w:val="000000" w:themeColor="text1"/>
          <w:lang w:eastAsia="fr-FR"/>
        </w:rPr>
        <w:t>aciéries</w:t>
      </w:r>
      <w:r w:rsidRPr="00915B33">
        <w:rPr>
          <w:rFonts w:ascii="Times New Roman" w:hAnsi="Times New Roman" w:cs="Times New Roman"/>
          <w:color w:val="000000" w:themeColor="text1"/>
          <w:lang w:eastAsia="fr-FR"/>
        </w:rPr>
        <w:t xml:space="preserve"> de la SAFA, tandis que celles de COVNM proviennent de l’usage de lubrifiants, alors que les HFCs sont quant à elles dues aux SAO. Les infimes quantités de SO</w:t>
      </w:r>
      <w:r w:rsidRPr="00915B33">
        <w:rPr>
          <w:rFonts w:ascii="Times New Roman" w:hAnsi="Times New Roman" w:cs="Times New Roman"/>
          <w:color w:val="000000" w:themeColor="text1"/>
          <w:vertAlign w:val="subscript"/>
          <w:lang w:eastAsia="fr-FR"/>
        </w:rPr>
        <w:t>2</w:t>
      </w:r>
      <w:r w:rsidR="00F570DC" w:rsidRPr="00915B33">
        <w:rPr>
          <w:rFonts w:ascii="Times New Roman" w:hAnsi="Times New Roman" w:cs="Times New Roman"/>
          <w:color w:val="000000" w:themeColor="text1"/>
          <w:vertAlign w:val="subscript"/>
          <w:lang w:eastAsia="fr-FR"/>
        </w:rPr>
        <w:t xml:space="preserve"> </w:t>
      </w:r>
      <w:r w:rsidR="00F570DC" w:rsidRPr="00915B33">
        <w:rPr>
          <w:rFonts w:ascii="Times New Roman" w:hAnsi="Times New Roman" w:cs="Times New Roman"/>
          <w:color w:val="000000" w:themeColor="text1"/>
          <w:lang w:eastAsia="fr-FR"/>
        </w:rPr>
        <w:t xml:space="preserve">quant sont quant à </w:t>
      </w:r>
      <w:r w:rsidR="00A32158" w:rsidRPr="00915B33">
        <w:rPr>
          <w:rFonts w:ascii="Times New Roman" w:hAnsi="Times New Roman" w:cs="Times New Roman"/>
          <w:color w:val="000000" w:themeColor="text1"/>
          <w:lang w:eastAsia="fr-FR"/>
        </w:rPr>
        <w:t>elles</w:t>
      </w:r>
      <w:r w:rsidRPr="00915B33">
        <w:rPr>
          <w:rFonts w:ascii="Times New Roman" w:hAnsi="Times New Roman" w:cs="Times New Roman"/>
          <w:color w:val="000000" w:themeColor="text1"/>
          <w:lang w:eastAsia="fr-FR"/>
        </w:rPr>
        <w:t xml:space="preserve"> relatives aux activités des cimenteries. </w:t>
      </w:r>
      <w:r w:rsidR="00F70912" w:rsidRPr="00915B33">
        <w:rPr>
          <w:rFonts w:ascii="Times New Roman" w:hAnsi="Times New Roman" w:cs="Times New Roman"/>
          <w:color w:val="000000" w:themeColor="text1"/>
          <w:lang w:eastAsia="fr-FR"/>
        </w:rPr>
        <w:t>Il découle de ces calculs que les proportions des principaux GES sont restées stables par rapport à l’exercice 20</w:t>
      </w:r>
      <w:r w:rsidR="00F570DC" w:rsidRPr="00915B33">
        <w:rPr>
          <w:rFonts w:ascii="Times New Roman" w:hAnsi="Times New Roman" w:cs="Times New Roman"/>
          <w:color w:val="000000" w:themeColor="text1"/>
          <w:lang w:eastAsia="fr-FR"/>
        </w:rPr>
        <w:t>2</w:t>
      </w:r>
      <w:r w:rsidR="009D1B65" w:rsidRPr="00915B33">
        <w:rPr>
          <w:rFonts w:ascii="Times New Roman" w:hAnsi="Times New Roman" w:cs="Times New Roman"/>
          <w:color w:val="000000" w:themeColor="text1"/>
          <w:lang w:eastAsia="fr-FR"/>
        </w:rPr>
        <w:t>0</w:t>
      </w:r>
      <w:r w:rsidR="00F70912" w:rsidRPr="00915B33">
        <w:rPr>
          <w:rFonts w:ascii="Times New Roman" w:hAnsi="Times New Roman" w:cs="Times New Roman"/>
          <w:color w:val="000000" w:themeColor="text1"/>
          <w:lang w:eastAsia="fr-FR"/>
        </w:rPr>
        <w:t>.</w:t>
      </w:r>
    </w:p>
    <w:p w14:paraId="7E07EC1C" w14:textId="6A2F701E" w:rsidR="009D1B65" w:rsidRPr="00915B33" w:rsidRDefault="009D1B65" w:rsidP="00B02B7B">
      <w:pPr>
        <w:spacing w:line="360" w:lineRule="auto"/>
        <w:jc w:val="both"/>
        <w:rPr>
          <w:rFonts w:ascii="Times New Roman" w:hAnsi="Times New Roman" w:cs="Times New Roman"/>
          <w:color w:val="000000" w:themeColor="text1"/>
          <w:lang w:eastAsia="fr-FR"/>
        </w:rPr>
      </w:pPr>
    </w:p>
    <w:p w14:paraId="38ED15A0" w14:textId="7A637616" w:rsidR="004D2746" w:rsidRPr="00915B33" w:rsidRDefault="004D2746" w:rsidP="00B02B7B">
      <w:pPr>
        <w:spacing w:line="360" w:lineRule="auto"/>
        <w:jc w:val="both"/>
        <w:rPr>
          <w:rFonts w:ascii="Times New Roman" w:hAnsi="Times New Roman" w:cs="Times New Roman"/>
          <w:color w:val="000000" w:themeColor="text1"/>
          <w:lang w:eastAsia="fr-FR"/>
        </w:rPr>
      </w:pPr>
    </w:p>
    <w:p w14:paraId="54B61776" w14:textId="77777777" w:rsidR="004D2746" w:rsidRPr="00915B33" w:rsidRDefault="004D2746" w:rsidP="00B02B7B">
      <w:pPr>
        <w:spacing w:line="360" w:lineRule="auto"/>
        <w:jc w:val="both"/>
        <w:rPr>
          <w:rFonts w:ascii="Times New Roman" w:hAnsi="Times New Roman" w:cs="Times New Roman"/>
          <w:color w:val="000000" w:themeColor="text1"/>
          <w:lang w:eastAsia="fr-FR"/>
        </w:rPr>
      </w:pPr>
    </w:p>
    <w:p w14:paraId="7D82F1F4" w14:textId="65362A5C" w:rsidR="00F27423" w:rsidRPr="00915B33" w:rsidRDefault="00F27423" w:rsidP="00BC2557">
      <w:pPr>
        <w:pStyle w:val="Sous-titre"/>
        <w:numPr>
          <w:ilvl w:val="0"/>
          <w:numId w:val="27"/>
        </w:numPr>
        <w:outlineLvl w:val="1"/>
        <w:rPr>
          <w:lang w:eastAsia="fr-FR"/>
        </w:rPr>
      </w:pPr>
      <w:bookmarkStart w:id="59" w:name="_Toc489388311"/>
      <w:bookmarkStart w:id="60" w:name="_Toc157935483"/>
      <w:r w:rsidRPr="00915B33">
        <w:t>Les émissions de SO</w:t>
      </w:r>
      <w:r w:rsidRPr="00915B33">
        <w:rPr>
          <w:vertAlign w:val="subscript"/>
        </w:rPr>
        <w:t>2</w:t>
      </w:r>
      <w:bookmarkEnd w:id="59"/>
      <w:bookmarkEnd w:id="60"/>
    </w:p>
    <w:p w14:paraId="27B53904" w14:textId="77777777" w:rsidR="00102C49" w:rsidRPr="00915B33" w:rsidRDefault="00102C49" w:rsidP="00B02B7B">
      <w:pPr>
        <w:spacing w:line="360" w:lineRule="auto"/>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La méthode d’estimation de ces émissions n’est fournie par les GBP du GIEC, mais par le guide EMEP/CORINAIR des inventaires des émissions EEE 2005. La formule de calcul est fonction de la quantité de ciment produite et d’un facteur émission fixé à 0,3 kg SO</w:t>
      </w:r>
      <w:r w:rsidRPr="00915B33">
        <w:rPr>
          <w:rFonts w:ascii="Times New Roman" w:hAnsi="Times New Roman" w:cs="Times New Roman"/>
          <w:color w:val="000000" w:themeColor="text1"/>
          <w:kern w:val="22"/>
          <w:vertAlign w:val="subscript"/>
          <w:lang w:eastAsia="fr-FR"/>
        </w:rPr>
        <w:t>2</w:t>
      </w:r>
      <w:r w:rsidRPr="00915B33">
        <w:rPr>
          <w:rFonts w:ascii="Times New Roman" w:hAnsi="Times New Roman" w:cs="Times New Roman"/>
          <w:color w:val="000000" w:themeColor="text1"/>
          <w:lang w:eastAsia="fr-FR"/>
        </w:rPr>
        <w:t>/tonne de ciment.</w:t>
      </w:r>
    </w:p>
    <w:p w14:paraId="6E5917F5" w14:textId="2A0BE410" w:rsidR="00102C49" w:rsidRPr="00915B33" w:rsidRDefault="00102C49" w:rsidP="00B02B7B">
      <w:pPr>
        <w:spacing w:line="360" w:lineRule="auto"/>
        <w:ind w:left="1416"/>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Emissions SO</w:t>
      </w:r>
      <w:r w:rsidRPr="00915B33">
        <w:rPr>
          <w:rFonts w:ascii="Times New Roman" w:hAnsi="Times New Roman" w:cs="Times New Roman"/>
          <w:color w:val="000000" w:themeColor="text1"/>
          <w:kern w:val="22"/>
          <w:vertAlign w:val="subscript"/>
          <w:lang w:eastAsia="fr-FR"/>
        </w:rPr>
        <w:t>2</w:t>
      </w:r>
      <w:r w:rsidRPr="00915B33">
        <w:rPr>
          <w:rFonts w:ascii="Times New Roman" w:hAnsi="Times New Roman" w:cs="Times New Roman"/>
          <w:color w:val="000000" w:themeColor="text1"/>
          <w:lang w:eastAsia="fr-FR"/>
        </w:rPr>
        <w:t xml:space="preserve"> = </w:t>
      </w:r>
      <w:r w:rsidR="00F57DD0" w:rsidRPr="00915B33">
        <w:rPr>
          <w:rFonts w:ascii="Times New Roman" w:hAnsi="Times New Roman" w:cs="Times New Roman"/>
          <w:color w:val="000000" w:themeColor="text1"/>
          <w:lang w:eastAsia="fr-FR"/>
        </w:rPr>
        <w:t>Production Ciment</w:t>
      </w:r>
      <w:r w:rsidRPr="00915B33">
        <w:rPr>
          <w:rFonts w:ascii="Times New Roman" w:hAnsi="Times New Roman" w:cs="Times New Roman"/>
          <w:color w:val="000000" w:themeColor="text1"/>
          <w:lang w:eastAsia="fr-FR"/>
        </w:rPr>
        <w:t xml:space="preserve"> * FE</w:t>
      </w:r>
    </w:p>
    <w:p w14:paraId="6AF8F31C" w14:textId="39EF381C" w:rsidR="00102C49" w:rsidRPr="00915B33" w:rsidRDefault="00F57DD0" w:rsidP="00B02B7B">
      <w:pPr>
        <w:spacing w:line="360" w:lineRule="auto"/>
        <w:ind w:left="1416"/>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Production Ciment</w:t>
      </w:r>
      <w:r w:rsidR="00102C49" w:rsidRPr="00915B33">
        <w:rPr>
          <w:rFonts w:ascii="Times New Roman" w:hAnsi="Times New Roman" w:cs="Times New Roman"/>
          <w:color w:val="000000" w:themeColor="text1"/>
          <w:lang w:eastAsia="fr-FR"/>
        </w:rPr>
        <w:t xml:space="preserve"> : ciment produit avec le clinker et additifs </w:t>
      </w:r>
    </w:p>
    <w:p w14:paraId="6B936298" w14:textId="77777777" w:rsidR="00102C49" w:rsidRPr="00915B33" w:rsidRDefault="00102C49" w:rsidP="00B02B7B">
      <w:pPr>
        <w:spacing w:line="360" w:lineRule="auto"/>
        <w:ind w:left="1416"/>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FE : Facteur d’émission</w:t>
      </w:r>
    </w:p>
    <w:p w14:paraId="2389177A" w14:textId="1C149319" w:rsidR="009657A9" w:rsidRPr="00915B33" w:rsidRDefault="00F27423" w:rsidP="00B02B7B">
      <w:pPr>
        <w:spacing w:line="360" w:lineRule="auto"/>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 xml:space="preserve">Le ciment </w:t>
      </w:r>
      <w:r w:rsidR="00A65925" w:rsidRPr="00915B33">
        <w:rPr>
          <w:rFonts w:ascii="Times New Roman" w:hAnsi="Times New Roman" w:cs="Times New Roman"/>
          <w:color w:val="000000" w:themeColor="text1"/>
          <w:lang w:eastAsia="fr-FR"/>
        </w:rPr>
        <w:t xml:space="preserve">que les entreprises mauritaniennes mettent sur le marché </w:t>
      </w:r>
      <w:r w:rsidR="00F57DD0" w:rsidRPr="00915B33">
        <w:rPr>
          <w:rFonts w:ascii="Times New Roman" w:hAnsi="Times New Roman" w:cs="Times New Roman"/>
          <w:color w:val="000000" w:themeColor="text1"/>
          <w:lang w:eastAsia="fr-FR"/>
        </w:rPr>
        <w:t>mauritanien</w:t>
      </w:r>
      <w:r w:rsidR="00A65925" w:rsidRPr="00915B33">
        <w:rPr>
          <w:rFonts w:ascii="Times New Roman" w:hAnsi="Times New Roman" w:cs="Times New Roman"/>
          <w:color w:val="000000" w:themeColor="text1"/>
          <w:lang w:eastAsia="fr-FR"/>
        </w:rPr>
        <w:t xml:space="preserve"> </w:t>
      </w:r>
      <w:r w:rsidRPr="00915B33">
        <w:rPr>
          <w:rFonts w:ascii="Times New Roman" w:hAnsi="Times New Roman" w:cs="Times New Roman"/>
          <w:color w:val="000000" w:themeColor="text1"/>
          <w:lang w:eastAsia="fr-FR"/>
        </w:rPr>
        <w:t>est un mélange de clinker</w:t>
      </w:r>
      <w:r w:rsidR="006271E7" w:rsidRPr="00915B33">
        <w:rPr>
          <w:rFonts w:ascii="Times New Roman" w:hAnsi="Times New Roman" w:cs="Times New Roman"/>
          <w:color w:val="000000" w:themeColor="text1"/>
          <w:lang w:eastAsia="fr-FR"/>
        </w:rPr>
        <w:t>, produit</w:t>
      </w:r>
      <w:r w:rsidRPr="00915B33">
        <w:rPr>
          <w:rFonts w:ascii="Times New Roman" w:hAnsi="Times New Roman" w:cs="Times New Roman"/>
          <w:color w:val="000000" w:themeColor="text1"/>
          <w:lang w:eastAsia="fr-FR"/>
        </w:rPr>
        <w:t xml:space="preserve"> importé</w:t>
      </w:r>
      <w:r w:rsidR="006271E7" w:rsidRPr="00915B33">
        <w:rPr>
          <w:rFonts w:ascii="Times New Roman" w:hAnsi="Times New Roman" w:cs="Times New Roman"/>
          <w:color w:val="000000" w:themeColor="text1"/>
          <w:lang w:eastAsia="fr-FR"/>
        </w:rPr>
        <w:t>,</w:t>
      </w:r>
      <w:r w:rsidRPr="00915B33">
        <w:rPr>
          <w:rFonts w:ascii="Times New Roman" w:hAnsi="Times New Roman" w:cs="Times New Roman"/>
          <w:color w:val="000000" w:themeColor="text1"/>
          <w:lang w:eastAsia="fr-FR"/>
        </w:rPr>
        <w:t xml:space="preserve"> et de deux additifs locaux, coquillage et gypse. </w:t>
      </w:r>
      <w:r w:rsidR="008369F6" w:rsidRPr="00915B33">
        <w:rPr>
          <w:rFonts w:ascii="Times New Roman" w:hAnsi="Times New Roman" w:cs="Times New Roman"/>
          <w:color w:val="000000" w:themeColor="text1"/>
          <w:lang w:eastAsia="fr-FR"/>
        </w:rPr>
        <w:t xml:space="preserve">L’opération de </w:t>
      </w:r>
      <w:r w:rsidRPr="00915B33">
        <w:rPr>
          <w:rFonts w:ascii="Times New Roman" w:hAnsi="Times New Roman" w:cs="Times New Roman"/>
          <w:color w:val="000000" w:themeColor="text1"/>
          <w:lang w:eastAsia="fr-FR"/>
        </w:rPr>
        <w:t>broyage du clinker</w:t>
      </w:r>
      <w:r w:rsidR="008369F6" w:rsidRPr="00915B33">
        <w:rPr>
          <w:rFonts w:ascii="Times New Roman" w:hAnsi="Times New Roman" w:cs="Times New Roman"/>
          <w:color w:val="000000" w:themeColor="text1"/>
          <w:lang w:eastAsia="fr-FR"/>
        </w:rPr>
        <w:t xml:space="preserve"> est celle qui engendre des </w:t>
      </w:r>
      <w:r w:rsidR="00F57DD0" w:rsidRPr="00915B33">
        <w:rPr>
          <w:rFonts w:ascii="Times New Roman" w:hAnsi="Times New Roman" w:cs="Times New Roman"/>
          <w:color w:val="000000" w:themeColor="text1"/>
          <w:lang w:eastAsia="fr-FR"/>
        </w:rPr>
        <w:t>émissions</w:t>
      </w:r>
      <w:r w:rsidR="008369F6" w:rsidRPr="00915B33">
        <w:rPr>
          <w:rFonts w:ascii="Times New Roman" w:hAnsi="Times New Roman" w:cs="Times New Roman"/>
          <w:color w:val="000000" w:themeColor="text1"/>
          <w:lang w:eastAsia="fr-FR"/>
        </w:rPr>
        <w:t xml:space="preserve"> de dioxyde de souffre (</w:t>
      </w:r>
      <w:r w:rsidRPr="00915B33">
        <w:rPr>
          <w:rFonts w:ascii="Times New Roman" w:hAnsi="Times New Roman" w:cs="Times New Roman"/>
          <w:color w:val="000000" w:themeColor="text1"/>
          <w:lang w:eastAsia="fr-FR"/>
        </w:rPr>
        <w:t>SO</w:t>
      </w:r>
      <w:r w:rsidRPr="00915B33">
        <w:rPr>
          <w:rFonts w:ascii="Times New Roman" w:hAnsi="Times New Roman" w:cs="Times New Roman"/>
          <w:color w:val="000000" w:themeColor="text1"/>
          <w:vertAlign w:val="subscript"/>
          <w:lang w:eastAsia="fr-FR"/>
        </w:rPr>
        <w:t>2</w:t>
      </w:r>
      <w:r w:rsidR="008369F6" w:rsidRPr="00915B33">
        <w:rPr>
          <w:rFonts w:ascii="Times New Roman" w:hAnsi="Times New Roman" w:cs="Times New Roman"/>
          <w:color w:val="000000" w:themeColor="text1"/>
          <w:lang w:eastAsia="fr-FR"/>
        </w:rPr>
        <w:t>)</w:t>
      </w:r>
      <w:r w:rsidRPr="00915B33">
        <w:rPr>
          <w:rFonts w:ascii="Times New Roman" w:hAnsi="Times New Roman" w:cs="Times New Roman"/>
          <w:color w:val="000000" w:themeColor="text1"/>
          <w:lang w:eastAsia="fr-FR"/>
        </w:rPr>
        <w:t>.</w:t>
      </w:r>
      <w:r w:rsidR="000E08F7" w:rsidRPr="00915B33">
        <w:rPr>
          <w:rFonts w:ascii="Times New Roman" w:hAnsi="Times New Roman" w:cs="Times New Roman"/>
          <w:color w:val="000000" w:themeColor="text1"/>
          <w:lang w:eastAsia="fr-FR"/>
        </w:rPr>
        <w:t xml:space="preserve"> </w:t>
      </w:r>
    </w:p>
    <w:p w14:paraId="1954ADAB" w14:textId="42C9E0FB" w:rsidR="00F27423" w:rsidRPr="00915B33" w:rsidRDefault="00FD7405" w:rsidP="00F27423">
      <w:pPr>
        <w:jc w:val="center"/>
        <w:rPr>
          <w:rFonts w:ascii="Times New Roman" w:hAnsi="Times New Roman" w:cs="Times New Roman"/>
          <w:b/>
          <w:color w:val="000000" w:themeColor="text1"/>
          <w:lang w:eastAsia="fr-FR"/>
        </w:rPr>
      </w:pPr>
      <w:r w:rsidRPr="00915B33">
        <w:rPr>
          <w:noProof/>
          <w:color w:val="000000" w:themeColor="text1"/>
        </w:rPr>
        <w:drawing>
          <wp:inline distT="0" distB="0" distL="0" distR="0" wp14:anchorId="067F468F" wp14:editId="21A1BB9D">
            <wp:extent cx="5760720" cy="3279140"/>
            <wp:effectExtent l="0" t="0" r="0" b="0"/>
            <wp:docPr id="3" name="Graphique 3">
              <a:extLst xmlns:a="http://schemas.openxmlformats.org/drawingml/2006/main">
                <a:ext uri="{FF2B5EF4-FFF2-40B4-BE49-F238E27FC236}">
                  <a16:creationId xmlns:a16="http://schemas.microsoft.com/office/drawing/2014/main" id="{9FBF9BDB-5911-4E64-9791-4B8928767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972B06" w14:textId="2D8AC017" w:rsidR="00F27423" w:rsidRPr="00915B33" w:rsidRDefault="00F27423">
      <w:pPr>
        <w:jc w:val="center"/>
        <w:rPr>
          <w:rFonts w:ascii="Times New Roman" w:hAnsi="Times New Roman" w:cs="Times New Roman"/>
          <w:color w:val="000000" w:themeColor="text1"/>
          <w:lang w:eastAsia="fr-FR"/>
        </w:rPr>
      </w:pPr>
      <w:r w:rsidRPr="00915B33">
        <w:rPr>
          <w:rFonts w:ascii="Times New Roman" w:hAnsi="Times New Roman" w:cs="Times New Roman"/>
          <w:b/>
          <w:color w:val="000000" w:themeColor="text1"/>
          <w:lang w:eastAsia="fr-FR"/>
        </w:rPr>
        <w:t xml:space="preserve">Graphique </w:t>
      </w:r>
      <w:r w:rsidR="003F1589" w:rsidRPr="00915B33">
        <w:rPr>
          <w:rFonts w:ascii="Times New Roman" w:hAnsi="Times New Roman" w:cs="Times New Roman"/>
          <w:b/>
          <w:color w:val="000000" w:themeColor="text1"/>
          <w:lang w:eastAsia="fr-FR"/>
        </w:rPr>
        <w:t>4</w:t>
      </w:r>
      <w:r w:rsidRPr="00915B33">
        <w:rPr>
          <w:rFonts w:ascii="Times New Roman" w:hAnsi="Times New Roman" w:cs="Times New Roman"/>
          <w:b/>
          <w:color w:val="000000" w:themeColor="text1"/>
          <w:lang w:eastAsia="fr-FR"/>
        </w:rPr>
        <w:t xml:space="preserve"> : </w:t>
      </w:r>
      <w:r w:rsidRPr="00915B33">
        <w:rPr>
          <w:rFonts w:ascii="Times New Roman" w:hAnsi="Times New Roman" w:cs="Times New Roman"/>
          <w:bCs/>
          <w:color w:val="000000" w:themeColor="text1"/>
        </w:rPr>
        <w:t>Émissions annuelles de SO</w:t>
      </w:r>
      <w:r w:rsidRPr="00915B33">
        <w:rPr>
          <w:rFonts w:ascii="Times New Roman" w:hAnsi="Times New Roman" w:cs="Times New Roman"/>
          <w:bCs/>
          <w:color w:val="000000" w:themeColor="text1"/>
          <w:vertAlign w:val="subscript"/>
        </w:rPr>
        <w:t xml:space="preserve">2 </w:t>
      </w:r>
      <w:r w:rsidRPr="00915B33">
        <w:rPr>
          <w:rFonts w:ascii="Times New Roman" w:hAnsi="Times New Roman" w:cs="Times New Roman"/>
          <w:bCs/>
          <w:color w:val="000000" w:themeColor="text1"/>
        </w:rPr>
        <w:t>dues à la production de ciment d</w:t>
      </w:r>
      <w:r w:rsidRPr="00915B33">
        <w:rPr>
          <w:rFonts w:ascii="Times New Roman" w:hAnsi="Times New Roman" w:cs="Times New Roman"/>
          <w:bCs/>
          <w:color w:val="000000" w:themeColor="text1"/>
          <w:lang w:eastAsia="fr-FR"/>
        </w:rPr>
        <w:t>e 1990 à 20</w:t>
      </w:r>
      <w:r w:rsidR="00AF0239" w:rsidRPr="00915B33">
        <w:rPr>
          <w:rFonts w:ascii="Times New Roman" w:hAnsi="Times New Roman" w:cs="Times New Roman"/>
          <w:bCs/>
          <w:color w:val="000000" w:themeColor="text1"/>
          <w:lang w:eastAsia="fr-FR"/>
        </w:rPr>
        <w:t>2</w:t>
      </w:r>
      <w:r w:rsidR="00FC1BDE" w:rsidRPr="00915B33">
        <w:rPr>
          <w:rFonts w:ascii="Times New Roman" w:hAnsi="Times New Roman" w:cs="Times New Roman"/>
          <w:bCs/>
          <w:color w:val="000000" w:themeColor="text1"/>
          <w:lang w:eastAsia="fr-FR"/>
        </w:rPr>
        <w:t>2</w:t>
      </w:r>
    </w:p>
    <w:p w14:paraId="225A5DF9" w14:textId="3C616022" w:rsidR="00F27423" w:rsidRPr="00915B33" w:rsidRDefault="00F27423">
      <w:pPr>
        <w:jc w:val="both"/>
        <w:rPr>
          <w:rFonts w:ascii="Times New Roman" w:hAnsi="Times New Roman" w:cs="Times New Roman"/>
          <w:color w:val="000000" w:themeColor="text1"/>
          <w:lang w:eastAsia="fr-FR"/>
        </w:rPr>
      </w:pPr>
    </w:p>
    <w:p w14:paraId="7FD3D64C" w14:textId="32F35508" w:rsidR="00F27423" w:rsidRPr="00915B33" w:rsidRDefault="00845A16" w:rsidP="00F27423">
      <w:pPr>
        <w:jc w:val="center"/>
        <w:rPr>
          <w:rFonts w:ascii="Times New Roman" w:hAnsi="Times New Roman" w:cs="Times New Roman"/>
          <w:b/>
          <w:color w:val="000000" w:themeColor="text1"/>
          <w:lang w:eastAsia="fr-FR"/>
        </w:rPr>
      </w:pPr>
      <w:r w:rsidRPr="00915B33">
        <w:rPr>
          <w:noProof/>
          <w:color w:val="000000" w:themeColor="text1"/>
        </w:rPr>
        <w:drawing>
          <wp:inline distT="0" distB="0" distL="0" distR="0" wp14:anchorId="3C11F2C4" wp14:editId="2C2F6D51">
            <wp:extent cx="5760720" cy="3292475"/>
            <wp:effectExtent l="0" t="0" r="0" b="0"/>
            <wp:docPr id="9" name="Graphique 9">
              <a:extLst xmlns:a="http://schemas.openxmlformats.org/drawingml/2006/main">
                <a:ext uri="{FF2B5EF4-FFF2-40B4-BE49-F238E27FC236}">
                  <a16:creationId xmlns:a16="http://schemas.microsoft.com/office/drawing/2014/main" id="{04C0FE50-4227-45EC-AA10-C454E96320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D10E54" w14:textId="4C68F24D" w:rsidR="00F27423" w:rsidRPr="00915B33" w:rsidRDefault="00F27423">
      <w:pPr>
        <w:jc w:val="center"/>
        <w:rPr>
          <w:rFonts w:ascii="Times New Roman" w:hAnsi="Times New Roman" w:cs="Times New Roman"/>
          <w:b/>
          <w:color w:val="000000" w:themeColor="text1"/>
          <w:lang w:eastAsia="fr-FR"/>
        </w:rPr>
      </w:pPr>
      <w:r w:rsidRPr="00915B33">
        <w:rPr>
          <w:rFonts w:ascii="Times New Roman" w:hAnsi="Times New Roman" w:cs="Times New Roman"/>
          <w:b/>
          <w:color w:val="000000" w:themeColor="text1"/>
          <w:lang w:eastAsia="fr-FR"/>
        </w:rPr>
        <w:t xml:space="preserve">Graphique </w:t>
      </w:r>
      <w:r w:rsidR="003F1589" w:rsidRPr="00915B33">
        <w:rPr>
          <w:rFonts w:ascii="Times New Roman" w:hAnsi="Times New Roman" w:cs="Times New Roman"/>
          <w:b/>
          <w:color w:val="000000" w:themeColor="text1"/>
          <w:lang w:eastAsia="fr-FR"/>
        </w:rPr>
        <w:t>5</w:t>
      </w:r>
      <w:r w:rsidRPr="00915B33">
        <w:rPr>
          <w:rFonts w:ascii="Times New Roman" w:hAnsi="Times New Roman" w:cs="Times New Roman"/>
          <w:b/>
          <w:color w:val="000000" w:themeColor="text1"/>
          <w:lang w:eastAsia="fr-FR"/>
        </w:rPr>
        <w:t xml:space="preserve"> : </w:t>
      </w:r>
      <w:r w:rsidR="00AC33C6" w:rsidRPr="00915B33">
        <w:rPr>
          <w:rFonts w:ascii="Times New Roman" w:hAnsi="Times New Roman" w:cs="Times New Roman"/>
          <w:color w:val="000000" w:themeColor="text1"/>
          <w:lang w:eastAsia="fr-FR"/>
        </w:rPr>
        <w:t>R</w:t>
      </w:r>
      <w:r w:rsidR="00BE66C2" w:rsidRPr="00915B33">
        <w:rPr>
          <w:rFonts w:ascii="Times New Roman" w:hAnsi="Times New Roman" w:cs="Times New Roman"/>
          <w:color w:val="000000" w:themeColor="text1"/>
          <w:lang w:eastAsia="fr-FR"/>
        </w:rPr>
        <w:t>écapitulatif</w:t>
      </w:r>
      <w:r w:rsidRPr="00915B33">
        <w:rPr>
          <w:rFonts w:ascii="Times New Roman" w:hAnsi="Times New Roman" w:cs="Times New Roman"/>
          <w:color w:val="000000" w:themeColor="text1"/>
          <w:lang w:eastAsia="fr-FR"/>
        </w:rPr>
        <w:t xml:space="preserve"> des </w:t>
      </w:r>
      <w:r w:rsidRPr="00915B33">
        <w:rPr>
          <w:rFonts w:ascii="Times New Roman" w:hAnsi="Times New Roman" w:cs="Times New Roman"/>
          <w:bCs/>
          <w:color w:val="000000" w:themeColor="text1"/>
        </w:rPr>
        <w:t>Totaux des émissions de SO</w:t>
      </w:r>
      <w:r w:rsidRPr="00915B33">
        <w:rPr>
          <w:rFonts w:ascii="Times New Roman" w:hAnsi="Times New Roman" w:cs="Times New Roman"/>
          <w:bCs/>
          <w:color w:val="000000" w:themeColor="text1"/>
          <w:vertAlign w:val="subscript"/>
        </w:rPr>
        <w:t>2</w:t>
      </w:r>
      <w:r w:rsidRPr="00915B33">
        <w:rPr>
          <w:rFonts w:ascii="Times New Roman" w:hAnsi="Times New Roman" w:cs="Times New Roman"/>
          <w:bCs/>
          <w:color w:val="000000" w:themeColor="text1"/>
        </w:rPr>
        <w:t xml:space="preserve"> lors des inventaires </w:t>
      </w:r>
      <w:r w:rsidR="00AC33C6" w:rsidRPr="00915B33">
        <w:rPr>
          <w:rFonts w:ascii="Times New Roman" w:hAnsi="Times New Roman" w:cs="Times New Roman"/>
          <w:bCs/>
          <w:color w:val="000000" w:themeColor="text1"/>
        </w:rPr>
        <w:t>nationaux</w:t>
      </w:r>
    </w:p>
    <w:p w14:paraId="60CE1EAB" w14:textId="05880E3E" w:rsidR="00BB6766" w:rsidRPr="00915B33" w:rsidRDefault="00BB6766" w:rsidP="00B02B7B">
      <w:pPr>
        <w:spacing w:line="360" w:lineRule="auto"/>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Le graphique</w:t>
      </w:r>
      <w:r w:rsidR="004D2746" w:rsidRPr="00915B33">
        <w:rPr>
          <w:rFonts w:ascii="Times New Roman" w:hAnsi="Times New Roman" w:cs="Times New Roman"/>
          <w:color w:val="000000" w:themeColor="text1"/>
          <w:lang w:eastAsia="fr-FR"/>
        </w:rPr>
        <w:t xml:space="preserve"> 5</w:t>
      </w:r>
      <w:r w:rsidRPr="00915B33">
        <w:rPr>
          <w:rFonts w:ascii="Times New Roman" w:hAnsi="Times New Roman" w:cs="Times New Roman"/>
          <w:color w:val="000000" w:themeColor="text1"/>
          <w:lang w:eastAsia="fr-FR"/>
        </w:rPr>
        <w:t xml:space="preserve"> montre que les </w:t>
      </w:r>
      <w:r w:rsidR="00F57DD0" w:rsidRPr="00915B33">
        <w:rPr>
          <w:rFonts w:ascii="Times New Roman" w:hAnsi="Times New Roman" w:cs="Times New Roman"/>
          <w:color w:val="000000" w:themeColor="text1"/>
          <w:lang w:eastAsia="fr-FR"/>
        </w:rPr>
        <w:t>émissions</w:t>
      </w:r>
      <w:r w:rsidRPr="00915B33">
        <w:rPr>
          <w:rFonts w:ascii="Times New Roman" w:hAnsi="Times New Roman" w:cs="Times New Roman"/>
          <w:color w:val="000000" w:themeColor="text1"/>
          <w:lang w:eastAsia="fr-FR"/>
        </w:rPr>
        <w:t xml:space="preserve"> de dioxyde de souffre </w:t>
      </w:r>
      <w:r w:rsidR="000F73DA" w:rsidRPr="00915B33">
        <w:rPr>
          <w:rFonts w:ascii="Times New Roman" w:hAnsi="Times New Roman" w:cs="Times New Roman"/>
          <w:color w:val="000000" w:themeColor="text1"/>
          <w:lang w:eastAsia="fr-FR"/>
        </w:rPr>
        <w:t xml:space="preserve">sont marquée par une hausse </w:t>
      </w:r>
      <w:r w:rsidR="00F57DD0" w:rsidRPr="00915B33">
        <w:rPr>
          <w:rFonts w:ascii="Times New Roman" w:hAnsi="Times New Roman" w:cs="Times New Roman"/>
          <w:color w:val="000000" w:themeColor="text1"/>
          <w:lang w:eastAsia="fr-FR"/>
        </w:rPr>
        <w:t>régulière</w:t>
      </w:r>
      <w:r w:rsidR="000F73DA" w:rsidRPr="00915B33">
        <w:rPr>
          <w:rFonts w:ascii="Times New Roman" w:hAnsi="Times New Roman" w:cs="Times New Roman"/>
          <w:color w:val="000000" w:themeColor="text1"/>
          <w:lang w:eastAsia="fr-FR"/>
        </w:rPr>
        <w:t xml:space="preserve"> des </w:t>
      </w:r>
      <w:r w:rsidR="00F57DD0" w:rsidRPr="00915B33">
        <w:rPr>
          <w:rFonts w:ascii="Times New Roman" w:hAnsi="Times New Roman" w:cs="Times New Roman"/>
          <w:color w:val="000000" w:themeColor="text1"/>
          <w:lang w:eastAsia="fr-FR"/>
        </w:rPr>
        <w:t>émissions</w:t>
      </w:r>
      <w:r w:rsidR="000F73DA" w:rsidRPr="00915B33">
        <w:rPr>
          <w:rFonts w:ascii="Times New Roman" w:hAnsi="Times New Roman" w:cs="Times New Roman"/>
          <w:color w:val="000000" w:themeColor="text1"/>
          <w:lang w:eastAsia="fr-FR"/>
        </w:rPr>
        <w:t xml:space="preserve"> enregistrées à l’issue des exercices successifs d’élaboration des communications nationales depuis leurs entames </w:t>
      </w:r>
      <w:r w:rsidR="00F57DD0" w:rsidRPr="00915B33">
        <w:rPr>
          <w:rFonts w:ascii="Times New Roman" w:hAnsi="Times New Roman" w:cs="Times New Roman"/>
          <w:color w:val="000000" w:themeColor="text1"/>
          <w:lang w:eastAsia="fr-FR"/>
        </w:rPr>
        <w:t>jusqu’à</w:t>
      </w:r>
      <w:r w:rsidR="000F73DA" w:rsidRPr="00915B33">
        <w:rPr>
          <w:rFonts w:ascii="Times New Roman" w:hAnsi="Times New Roman" w:cs="Times New Roman"/>
          <w:color w:val="000000" w:themeColor="text1"/>
          <w:lang w:eastAsia="fr-FR"/>
        </w:rPr>
        <w:t xml:space="preserve"> l’édition faisant l’objet du </w:t>
      </w:r>
      <w:r w:rsidR="00F57DD0" w:rsidRPr="00915B33">
        <w:rPr>
          <w:rFonts w:ascii="Times New Roman" w:hAnsi="Times New Roman" w:cs="Times New Roman"/>
          <w:color w:val="000000" w:themeColor="text1"/>
          <w:lang w:eastAsia="fr-FR"/>
        </w:rPr>
        <w:t>présent</w:t>
      </w:r>
      <w:r w:rsidR="000F73DA" w:rsidRPr="00915B33">
        <w:rPr>
          <w:rFonts w:ascii="Times New Roman" w:hAnsi="Times New Roman" w:cs="Times New Roman"/>
          <w:color w:val="000000" w:themeColor="text1"/>
          <w:lang w:eastAsia="fr-FR"/>
        </w:rPr>
        <w:t xml:space="preserve"> rapport.</w:t>
      </w:r>
    </w:p>
    <w:p w14:paraId="390469DF" w14:textId="407A4B37" w:rsidR="004D2746" w:rsidRPr="00915B33" w:rsidRDefault="00FC1BDE" w:rsidP="00B02B7B">
      <w:pPr>
        <w:spacing w:line="360" w:lineRule="auto"/>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 xml:space="preserve">Lorsque l’on considère la hausse des </w:t>
      </w:r>
      <w:r w:rsidR="00F57DD0" w:rsidRPr="00915B33">
        <w:rPr>
          <w:rFonts w:ascii="Times New Roman" w:hAnsi="Times New Roman" w:cs="Times New Roman"/>
          <w:color w:val="000000" w:themeColor="text1"/>
          <w:lang w:eastAsia="fr-FR"/>
        </w:rPr>
        <w:t>émissions</w:t>
      </w:r>
      <w:r w:rsidRPr="00915B33">
        <w:rPr>
          <w:rFonts w:ascii="Times New Roman" w:hAnsi="Times New Roman" w:cs="Times New Roman"/>
          <w:color w:val="000000" w:themeColor="text1"/>
          <w:lang w:eastAsia="fr-FR"/>
        </w:rPr>
        <w:t xml:space="preserve"> entre deux communications </w:t>
      </w:r>
      <w:r w:rsidR="00F57DD0" w:rsidRPr="00915B33">
        <w:rPr>
          <w:rFonts w:ascii="Times New Roman" w:hAnsi="Times New Roman" w:cs="Times New Roman"/>
          <w:color w:val="000000" w:themeColor="text1"/>
          <w:lang w:eastAsia="fr-FR"/>
        </w:rPr>
        <w:t>successives</w:t>
      </w:r>
      <w:r w:rsidRPr="00915B33">
        <w:rPr>
          <w:rFonts w:ascii="Times New Roman" w:hAnsi="Times New Roman" w:cs="Times New Roman"/>
          <w:color w:val="000000" w:themeColor="text1"/>
          <w:lang w:eastAsia="fr-FR"/>
        </w:rPr>
        <w:t>, on remarque que des taux de variations relativement importants. En 2010, un écart significatif de 247% est observ</w:t>
      </w:r>
      <w:r w:rsidR="00164398" w:rsidRPr="00915B33">
        <w:rPr>
          <w:rFonts w:ascii="Times New Roman" w:hAnsi="Times New Roman" w:cs="Times New Roman"/>
          <w:color w:val="000000" w:themeColor="text1"/>
          <w:lang w:eastAsia="fr-FR"/>
        </w:rPr>
        <w:t xml:space="preserve">é par rapport à l’exercice de 2000, tandis que l’édition suivante de 2012 n’enregistre aucune </w:t>
      </w:r>
      <w:r w:rsidR="00F57DD0" w:rsidRPr="00915B33">
        <w:rPr>
          <w:rFonts w:ascii="Times New Roman" w:hAnsi="Times New Roman" w:cs="Times New Roman"/>
          <w:color w:val="000000" w:themeColor="text1"/>
          <w:lang w:eastAsia="fr-FR"/>
        </w:rPr>
        <w:t>différence</w:t>
      </w:r>
      <w:r w:rsidR="00164398" w:rsidRPr="00915B33">
        <w:rPr>
          <w:rFonts w:ascii="Times New Roman" w:hAnsi="Times New Roman" w:cs="Times New Roman"/>
          <w:color w:val="000000" w:themeColor="text1"/>
          <w:lang w:eastAsia="fr-FR"/>
        </w:rPr>
        <w:t>.</w:t>
      </w:r>
      <w:r w:rsidR="0048063B" w:rsidRPr="00915B33">
        <w:rPr>
          <w:rFonts w:ascii="Times New Roman" w:hAnsi="Times New Roman" w:cs="Times New Roman"/>
          <w:color w:val="000000" w:themeColor="text1"/>
          <w:lang w:eastAsia="fr-FR"/>
        </w:rPr>
        <w:t xml:space="preserve"> Les hausses de 22%, 2% et 10% constatées respectivement en 2015, 2018 et 2022 est justifiée compte tenu de l’arrivée de nouvelles cimenteries pour répondre à des besoins en logements d’une population urbaine de plus en plus nombreuse et aspirant plus que jamais à se doter de logement plus décent</w:t>
      </w:r>
      <w:r w:rsidR="00EC5C30" w:rsidRPr="00915B33">
        <w:rPr>
          <w:rFonts w:ascii="Times New Roman" w:hAnsi="Times New Roman" w:cs="Times New Roman"/>
          <w:color w:val="000000" w:themeColor="text1"/>
          <w:lang w:eastAsia="fr-FR"/>
        </w:rPr>
        <w:t xml:space="preserve">. </w:t>
      </w:r>
    </w:p>
    <w:p w14:paraId="7B1F9BEE" w14:textId="5EFFF28E" w:rsidR="00EE55B1" w:rsidRPr="00915B33" w:rsidRDefault="00EC5C30"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lang w:eastAsia="fr-FR"/>
        </w:rPr>
        <w:t xml:space="preserve">La décennie 2000 a été marquée par des initiatives des autorités publiques d’éradiquer les habitations de </w:t>
      </w:r>
      <w:r w:rsidR="00F57DD0" w:rsidRPr="00915B33">
        <w:rPr>
          <w:rFonts w:ascii="Times New Roman" w:hAnsi="Times New Roman" w:cs="Times New Roman"/>
          <w:color w:val="000000" w:themeColor="text1"/>
          <w:lang w:eastAsia="fr-FR"/>
        </w:rPr>
        <w:t>fortune</w:t>
      </w:r>
      <w:r w:rsidRPr="00915B33">
        <w:rPr>
          <w:rFonts w:ascii="Times New Roman" w:hAnsi="Times New Roman" w:cs="Times New Roman"/>
          <w:color w:val="000000" w:themeColor="text1"/>
          <w:lang w:eastAsia="fr-FR"/>
        </w:rPr>
        <w:t xml:space="preserve"> des bidonvilles de Nouakchott, Nouadhibou. </w:t>
      </w:r>
      <w:r w:rsidR="000615A9" w:rsidRPr="00915B33">
        <w:rPr>
          <w:rFonts w:ascii="Times New Roman" w:hAnsi="Times New Roman" w:cs="Times New Roman"/>
          <w:color w:val="000000" w:themeColor="text1"/>
          <w:lang w:eastAsia="fr-FR"/>
        </w:rPr>
        <w:t xml:space="preserve">Conséquemment, les </w:t>
      </w:r>
      <w:r w:rsidR="00F57DD0" w:rsidRPr="00915B33">
        <w:rPr>
          <w:rFonts w:ascii="Times New Roman" w:hAnsi="Times New Roman" w:cs="Times New Roman"/>
          <w:color w:val="000000" w:themeColor="text1"/>
          <w:lang w:eastAsia="fr-FR"/>
        </w:rPr>
        <w:t>émissions</w:t>
      </w:r>
      <w:r w:rsidR="000615A9" w:rsidRPr="00915B33">
        <w:rPr>
          <w:rFonts w:ascii="Times New Roman" w:hAnsi="Times New Roman" w:cs="Times New Roman"/>
          <w:color w:val="000000" w:themeColor="text1"/>
          <w:lang w:eastAsia="fr-FR"/>
        </w:rPr>
        <w:t xml:space="preserve"> reliées aux cimenteries auraient pu connaître des hausses beaucoup plus importantes, étant donné que l’arrivée de </w:t>
      </w:r>
      <w:r w:rsidR="00164398" w:rsidRPr="00915B33">
        <w:rPr>
          <w:rFonts w:ascii="Times New Roman" w:hAnsi="Times New Roman" w:cs="Times New Roman"/>
          <w:color w:val="000000" w:themeColor="text1"/>
          <w:lang w:eastAsia="fr-FR"/>
        </w:rPr>
        <w:t xml:space="preserve">de nouvelles usines </w:t>
      </w:r>
      <w:r w:rsidR="000615A9" w:rsidRPr="00915B33">
        <w:rPr>
          <w:rFonts w:ascii="Times New Roman" w:hAnsi="Times New Roman" w:cs="Times New Roman"/>
          <w:color w:val="000000" w:themeColor="text1"/>
          <w:lang w:eastAsia="fr-FR"/>
        </w:rPr>
        <w:t xml:space="preserve">qui s’accompagne de </w:t>
      </w:r>
      <w:r w:rsidR="00164398" w:rsidRPr="00915B33">
        <w:rPr>
          <w:rFonts w:ascii="Times New Roman" w:hAnsi="Times New Roman" w:cs="Times New Roman"/>
          <w:color w:val="000000" w:themeColor="text1"/>
          <w:lang w:eastAsia="fr-FR"/>
        </w:rPr>
        <w:t xml:space="preserve">la mise en service de nouveaux broyeurs de clinker. </w:t>
      </w:r>
      <w:r w:rsidR="000615A9" w:rsidRPr="00915B33">
        <w:rPr>
          <w:rFonts w:ascii="Times New Roman" w:hAnsi="Times New Roman" w:cs="Times New Roman"/>
          <w:color w:val="000000" w:themeColor="text1"/>
          <w:lang w:eastAsia="fr-FR"/>
        </w:rPr>
        <w:t xml:space="preserve">Toutefois, en raison des réticences des cimenteries à fournir leurs données de production, les valeurs des émissions restent marquées par de nombreuses </w:t>
      </w:r>
      <w:r w:rsidR="00164398" w:rsidRPr="00915B33">
        <w:rPr>
          <w:rFonts w:ascii="Times New Roman" w:hAnsi="Times New Roman" w:cs="Times New Roman"/>
          <w:color w:val="000000" w:themeColor="text1"/>
          <w:lang w:eastAsia="fr-FR"/>
        </w:rPr>
        <w:t xml:space="preserve">incertitudes </w:t>
      </w:r>
      <w:r w:rsidR="000615A9" w:rsidRPr="00915B33">
        <w:rPr>
          <w:rFonts w:ascii="Times New Roman" w:hAnsi="Times New Roman" w:cs="Times New Roman"/>
          <w:color w:val="000000" w:themeColor="text1"/>
          <w:lang w:eastAsia="fr-FR"/>
        </w:rPr>
        <w:t>biaisant le portrait réel de cette activité.</w:t>
      </w:r>
      <w:r w:rsidR="00EE55B1" w:rsidRPr="00915B33">
        <w:rPr>
          <w:rFonts w:ascii="Times New Roman" w:hAnsi="Times New Roman" w:cs="Times New Roman"/>
          <w:color w:val="000000" w:themeColor="text1"/>
          <w:lang w:eastAsia="fr-FR"/>
        </w:rPr>
        <w:t xml:space="preserve"> </w:t>
      </w:r>
    </w:p>
    <w:p w14:paraId="06ADFD90" w14:textId="39F6BDC5" w:rsidR="00F27423" w:rsidRPr="00915B33" w:rsidRDefault="0003719D" w:rsidP="00EE55B1">
      <w:pPr>
        <w:tabs>
          <w:tab w:val="left" w:pos="2760"/>
        </w:tabs>
        <w:rPr>
          <w:rFonts w:ascii="Times New Roman" w:hAnsi="Times New Roman" w:cs="Times New Roman"/>
          <w:color w:val="000000" w:themeColor="text1"/>
          <w:lang w:eastAsia="fr-FR"/>
        </w:rPr>
      </w:pPr>
      <w:r w:rsidRPr="00915B33">
        <w:rPr>
          <w:noProof/>
          <w:color w:val="000000" w:themeColor="text1"/>
        </w:rPr>
        <w:drawing>
          <wp:inline distT="0" distB="0" distL="0" distR="0" wp14:anchorId="49DB10A6" wp14:editId="05B64ABA">
            <wp:extent cx="5760720" cy="3641090"/>
            <wp:effectExtent l="0" t="0" r="0" b="0"/>
            <wp:docPr id="4" name="Graphique 4">
              <a:extLst xmlns:a="http://schemas.openxmlformats.org/drawingml/2006/main">
                <a:ext uri="{FF2B5EF4-FFF2-40B4-BE49-F238E27FC236}">
                  <a16:creationId xmlns:a16="http://schemas.microsoft.com/office/drawing/2014/main" id="{4F857FD3-BD1C-4315-A191-727ACCB9E5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8F0820" w14:textId="1ADADE71" w:rsidR="001445D8" w:rsidRPr="00915B33" w:rsidRDefault="00CC3A43" w:rsidP="006F3249">
      <w:pPr>
        <w:jc w:val="center"/>
        <w:rPr>
          <w:b/>
          <w:bCs/>
          <w:color w:val="000000" w:themeColor="text1"/>
        </w:rPr>
      </w:pPr>
      <w:r w:rsidRPr="00915B33">
        <w:rPr>
          <w:rFonts w:ascii="Times New Roman" w:hAnsi="Times New Roman" w:cs="Times New Roman"/>
          <w:b/>
          <w:color w:val="000000" w:themeColor="text1"/>
          <w:lang w:eastAsia="fr-FR"/>
        </w:rPr>
        <w:t xml:space="preserve">Graphique </w:t>
      </w:r>
      <w:r w:rsidR="003F1589" w:rsidRPr="00915B33">
        <w:rPr>
          <w:rFonts w:ascii="Times New Roman" w:hAnsi="Times New Roman" w:cs="Times New Roman"/>
          <w:b/>
          <w:color w:val="000000" w:themeColor="text1"/>
          <w:lang w:eastAsia="fr-FR"/>
        </w:rPr>
        <w:t>6</w:t>
      </w:r>
      <w:r w:rsidRPr="00915B33">
        <w:rPr>
          <w:rFonts w:ascii="Times New Roman" w:hAnsi="Times New Roman" w:cs="Times New Roman"/>
          <w:b/>
          <w:color w:val="000000" w:themeColor="text1"/>
          <w:lang w:eastAsia="fr-FR"/>
        </w:rPr>
        <w:t xml:space="preserve"> : </w:t>
      </w:r>
      <w:r w:rsidR="001445D8" w:rsidRPr="00915B33">
        <w:rPr>
          <w:b/>
          <w:bCs/>
          <w:color w:val="000000" w:themeColor="text1"/>
          <w:u w:val="single"/>
        </w:rPr>
        <w:t>Taux de Variations des émissions de SO</w:t>
      </w:r>
      <w:r w:rsidR="001445D8" w:rsidRPr="00915B33">
        <w:rPr>
          <w:b/>
          <w:bCs/>
          <w:color w:val="000000" w:themeColor="text1"/>
          <w:kern w:val="22"/>
          <w:u w:val="single"/>
          <w:vertAlign w:val="subscript"/>
        </w:rPr>
        <w:t>2</w:t>
      </w:r>
      <w:r w:rsidR="001445D8" w:rsidRPr="00915B33">
        <w:rPr>
          <w:b/>
          <w:bCs/>
          <w:color w:val="000000" w:themeColor="text1"/>
          <w:u w:val="single"/>
        </w:rPr>
        <w:t xml:space="preserve"> entre les différents inventaires nationaux</w:t>
      </w:r>
    </w:p>
    <w:p w14:paraId="3B84A05B" w14:textId="77777777" w:rsidR="00EE55B1" w:rsidRPr="00915B33" w:rsidRDefault="00EE55B1">
      <w:pPr>
        <w:jc w:val="both"/>
        <w:rPr>
          <w:rFonts w:ascii="Times New Roman" w:hAnsi="Times New Roman" w:cs="Times New Roman"/>
          <w:b/>
          <w:color w:val="000000" w:themeColor="text1"/>
          <w:lang w:eastAsia="fr-FR"/>
        </w:rPr>
      </w:pPr>
    </w:p>
    <w:p w14:paraId="6A0897E0" w14:textId="77777777" w:rsidR="00F27423" w:rsidRPr="00915B33" w:rsidRDefault="00F27423" w:rsidP="00BC2557">
      <w:pPr>
        <w:pStyle w:val="Sous-titre"/>
        <w:numPr>
          <w:ilvl w:val="0"/>
          <w:numId w:val="28"/>
        </w:numPr>
        <w:outlineLvl w:val="2"/>
        <w:rPr>
          <w:lang w:eastAsia="fr-FR"/>
        </w:rPr>
      </w:pPr>
      <w:bookmarkStart w:id="61" w:name="_Toc157935484"/>
      <w:r w:rsidRPr="00915B33">
        <w:rPr>
          <w:lang w:eastAsia="fr-FR"/>
        </w:rPr>
        <w:t>Incertitudes</w:t>
      </w:r>
      <w:bookmarkEnd w:id="61"/>
    </w:p>
    <w:p w14:paraId="66B75DE4" w14:textId="77777777" w:rsidR="00F27423" w:rsidRPr="00915B33" w:rsidRDefault="00F27423" w:rsidP="00B02B7B">
      <w:pPr>
        <w:spacing w:line="360" w:lineRule="auto"/>
        <w:ind w:left="360"/>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Le GIEC préconise des incertitudes de l’ordre ±10% pour les données associées à l’estimation des émissions de SO</w:t>
      </w:r>
      <w:r w:rsidRPr="00915B33">
        <w:rPr>
          <w:rFonts w:ascii="Times New Roman" w:hAnsi="Times New Roman" w:cs="Times New Roman"/>
          <w:color w:val="000000" w:themeColor="text1"/>
          <w:vertAlign w:val="subscript"/>
          <w:lang w:eastAsia="fr-FR"/>
        </w:rPr>
        <w:t>2</w:t>
      </w:r>
      <w:r w:rsidRPr="00915B33">
        <w:rPr>
          <w:rFonts w:ascii="Times New Roman" w:hAnsi="Times New Roman" w:cs="Times New Roman"/>
          <w:color w:val="000000" w:themeColor="text1"/>
          <w:lang w:eastAsia="fr-FR"/>
        </w:rPr>
        <w:t xml:space="preserve"> portant sur les données de broyage de clinker et sur les facteurs d’émission. </w:t>
      </w:r>
    </w:p>
    <w:p w14:paraId="2399D4CA" w14:textId="77777777" w:rsidR="00F27423" w:rsidRPr="00915B33" w:rsidRDefault="00F27423" w:rsidP="00B02B7B">
      <w:pPr>
        <w:spacing w:line="360" w:lineRule="auto"/>
        <w:ind w:left="360"/>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 xml:space="preserve">Les importations clinker </w:t>
      </w:r>
      <w:r w:rsidR="001D48AD" w:rsidRPr="00915B33">
        <w:rPr>
          <w:rFonts w:ascii="Times New Roman" w:hAnsi="Times New Roman" w:cs="Times New Roman"/>
          <w:color w:val="000000" w:themeColor="text1"/>
          <w:lang w:eastAsia="fr-FR"/>
        </w:rPr>
        <w:t xml:space="preserve">qui </w:t>
      </w:r>
      <w:r w:rsidRPr="00915B33">
        <w:rPr>
          <w:rFonts w:ascii="Times New Roman" w:hAnsi="Times New Roman" w:cs="Times New Roman"/>
          <w:color w:val="000000" w:themeColor="text1"/>
          <w:lang w:eastAsia="fr-FR"/>
        </w:rPr>
        <w:t xml:space="preserve">sont </w:t>
      </w:r>
      <w:r w:rsidR="00BE66C2" w:rsidRPr="00915B33">
        <w:rPr>
          <w:rFonts w:ascii="Times New Roman" w:hAnsi="Times New Roman" w:cs="Times New Roman"/>
          <w:color w:val="000000" w:themeColor="text1"/>
          <w:lang w:eastAsia="fr-FR"/>
        </w:rPr>
        <w:t>centralisées</w:t>
      </w:r>
      <w:r w:rsidRPr="00915B33">
        <w:rPr>
          <w:rFonts w:ascii="Times New Roman" w:hAnsi="Times New Roman" w:cs="Times New Roman"/>
          <w:color w:val="000000" w:themeColor="text1"/>
          <w:lang w:eastAsia="fr-FR"/>
        </w:rPr>
        <w:t xml:space="preserve"> au niveau des enregistrements de SYDONIA sont sujettes à peu d’imprécisions. Concernant celles-ci, les professionnels du secteur consultés recommandent un intervalle d’incertitude de ±5.</w:t>
      </w:r>
    </w:p>
    <w:p w14:paraId="5F84FE81" w14:textId="73EBDD49" w:rsidR="00452BEC" w:rsidRPr="00915B33" w:rsidRDefault="00452BEC" w:rsidP="00B02B7B">
      <w:pPr>
        <w:spacing w:line="360" w:lineRule="auto"/>
        <w:ind w:left="360"/>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 xml:space="preserve">Par ailleurs, </w:t>
      </w:r>
      <w:r w:rsidR="007E5B5B" w:rsidRPr="00915B33">
        <w:rPr>
          <w:rFonts w:ascii="Times New Roman" w:hAnsi="Times New Roman" w:cs="Times New Roman"/>
          <w:color w:val="000000" w:themeColor="text1"/>
          <w:lang w:eastAsia="fr-FR"/>
        </w:rPr>
        <w:t xml:space="preserve">comme cela a été signalé plus haut il subsiste encore de nombreuses contraintes </w:t>
      </w:r>
      <w:r w:rsidR="009D366C" w:rsidRPr="00915B33">
        <w:rPr>
          <w:rFonts w:ascii="Times New Roman" w:hAnsi="Times New Roman" w:cs="Times New Roman"/>
          <w:color w:val="000000" w:themeColor="text1"/>
          <w:lang w:eastAsia="fr-FR"/>
        </w:rPr>
        <w:t>à l’accès aux données relatives</w:t>
      </w:r>
      <w:r w:rsidRPr="00915B33">
        <w:rPr>
          <w:rFonts w:ascii="Times New Roman" w:hAnsi="Times New Roman" w:cs="Times New Roman"/>
          <w:color w:val="000000" w:themeColor="text1"/>
          <w:lang w:eastAsia="fr-FR"/>
        </w:rPr>
        <w:t xml:space="preserve"> aux sta</w:t>
      </w:r>
      <w:r w:rsidR="00C44574" w:rsidRPr="00915B33">
        <w:rPr>
          <w:rFonts w:ascii="Times New Roman" w:hAnsi="Times New Roman" w:cs="Times New Roman"/>
          <w:color w:val="000000" w:themeColor="text1"/>
          <w:lang w:eastAsia="fr-FR"/>
        </w:rPr>
        <w:t>ti</w:t>
      </w:r>
      <w:r w:rsidRPr="00915B33">
        <w:rPr>
          <w:rFonts w:ascii="Times New Roman" w:hAnsi="Times New Roman" w:cs="Times New Roman"/>
          <w:color w:val="000000" w:themeColor="text1"/>
          <w:lang w:eastAsia="fr-FR"/>
        </w:rPr>
        <w:t xml:space="preserve">stiques de l’industrie du ciment en Mauritanie. </w:t>
      </w:r>
      <w:r w:rsidR="007D04C5" w:rsidRPr="00915B33">
        <w:rPr>
          <w:rFonts w:ascii="Times New Roman" w:hAnsi="Times New Roman" w:cs="Times New Roman"/>
          <w:color w:val="000000" w:themeColor="text1"/>
          <w:lang w:eastAsia="fr-FR"/>
        </w:rPr>
        <w:t>Les entreprises</w:t>
      </w:r>
      <w:r w:rsidR="009D366C" w:rsidRPr="00915B33">
        <w:rPr>
          <w:rFonts w:ascii="Times New Roman" w:hAnsi="Times New Roman" w:cs="Times New Roman"/>
          <w:color w:val="000000" w:themeColor="text1"/>
          <w:lang w:eastAsia="fr-FR"/>
        </w:rPr>
        <w:t xml:space="preserve"> montrent peu d’ouverture à la </w:t>
      </w:r>
      <w:r w:rsidR="00371814" w:rsidRPr="00915B33">
        <w:rPr>
          <w:rFonts w:ascii="Times New Roman" w:hAnsi="Times New Roman" w:cs="Times New Roman"/>
          <w:color w:val="000000" w:themeColor="text1"/>
          <w:lang w:eastAsia="fr-FR"/>
        </w:rPr>
        <w:t>collaboration</w:t>
      </w:r>
      <w:r w:rsidR="009D366C" w:rsidRPr="00915B33">
        <w:rPr>
          <w:rFonts w:ascii="Times New Roman" w:hAnsi="Times New Roman" w:cs="Times New Roman"/>
          <w:color w:val="000000" w:themeColor="text1"/>
          <w:lang w:eastAsia="fr-FR"/>
        </w:rPr>
        <w:t xml:space="preserve"> aux opérations de collecte de données, qui peuvent s’expliquer par plusieurs raisons. </w:t>
      </w:r>
      <w:r w:rsidR="007D04C5" w:rsidRPr="00915B33">
        <w:rPr>
          <w:rFonts w:ascii="Times New Roman" w:hAnsi="Times New Roman" w:cs="Times New Roman"/>
          <w:color w:val="000000" w:themeColor="text1"/>
          <w:lang w:eastAsia="fr-FR"/>
        </w:rPr>
        <w:t>Cette attitude est compréhensible puisqu’elle est prévue par les lignes direct</w:t>
      </w:r>
      <w:r w:rsidR="00C44574" w:rsidRPr="00915B33">
        <w:rPr>
          <w:rFonts w:ascii="Times New Roman" w:hAnsi="Times New Roman" w:cs="Times New Roman"/>
          <w:color w:val="000000" w:themeColor="text1"/>
          <w:lang w:eastAsia="fr-FR"/>
        </w:rPr>
        <w:t>ri</w:t>
      </w:r>
      <w:r w:rsidR="007D04C5" w:rsidRPr="00915B33">
        <w:rPr>
          <w:rFonts w:ascii="Times New Roman" w:hAnsi="Times New Roman" w:cs="Times New Roman"/>
          <w:color w:val="000000" w:themeColor="text1"/>
          <w:lang w:eastAsia="fr-FR"/>
        </w:rPr>
        <w:t xml:space="preserve">ces du GIEC qui les justifient, </w:t>
      </w:r>
      <w:r w:rsidR="00371814" w:rsidRPr="00915B33">
        <w:rPr>
          <w:rFonts w:ascii="Times New Roman" w:hAnsi="Times New Roman" w:cs="Times New Roman"/>
          <w:color w:val="000000" w:themeColor="text1"/>
          <w:lang w:eastAsia="fr-FR"/>
        </w:rPr>
        <w:t>notamment</w:t>
      </w:r>
      <w:r w:rsidR="007D04C5" w:rsidRPr="00915B33">
        <w:rPr>
          <w:rFonts w:ascii="Times New Roman" w:hAnsi="Times New Roman" w:cs="Times New Roman"/>
          <w:color w:val="000000" w:themeColor="text1"/>
          <w:lang w:eastAsia="fr-FR"/>
        </w:rPr>
        <w:t xml:space="preserve">, par les logiques de la concurrence. </w:t>
      </w:r>
      <w:r w:rsidR="007B28E2" w:rsidRPr="00915B33">
        <w:rPr>
          <w:rFonts w:ascii="Times New Roman" w:hAnsi="Times New Roman" w:cs="Times New Roman"/>
          <w:color w:val="000000" w:themeColor="text1"/>
          <w:lang w:eastAsia="fr-FR"/>
        </w:rPr>
        <w:t xml:space="preserve">Considérant cet aspect, nous nous évertuons à rassurer les entreprises quant à l’utilisation exclusive des données aux fins de calculs et qu’en aucun cas les statistiques ne seraient communiquées à d’autres structures. </w:t>
      </w:r>
      <w:r w:rsidR="007D04C5" w:rsidRPr="00915B33">
        <w:rPr>
          <w:rFonts w:ascii="Times New Roman" w:hAnsi="Times New Roman" w:cs="Times New Roman"/>
          <w:color w:val="000000" w:themeColor="text1"/>
          <w:lang w:eastAsia="fr-FR"/>
        </w:rPr>
        <w:t xml:space="preserve">En collectant les données, nous </w:t>
      </w:r>
      <w:r w:rsidR="005D46E5" w:rsidRPr="00915B33">
        <w:rPr>
          <w:rFonts w:ascii="Times New Roman" w:hAnsi="Times New Roman" w:cs="Times New Roman"/>
          <w:color w:val="000000" w:themeColor="text1"/>
          <w:lang w:eastAsia="fr-FR"/>
        </w:rPr>
        <w:t>promettons de garantir leur</w:t>
      </w:r>
      <w:r w:rsidR="007D04C5" w:rsidRPr="00915B33">
        <w:rPr>
          <w:rFonts w:ascii="Times New Roman" w:hAnsi="Times New Roman" w:cs="Times New Roman"/>
          <w:color w:val="000000" w:themeColor="text1"/>
          <w:lang w:eastAsia="fr-FR"/>
        </w:rPr>
        <w:t xml:space="preserve"> confidentialité. Aussi, nous avons tenu à faire comprendre à nos </w:t>
      </w:r>
      <w:r w:rsidR="00C44574" w:rsidRPr="00915B33">
        <w:rPr>
          <w:rFonts w:ascii="Times New Roman" w:hAnsi="Times New Roman" w:cs="Times New Roman"/>
          <w:color w:val="000000" w:themeColor="text1"/>
          <w:lang w:eastAsia="fr-FR"/>
        </w:rPr>
        <w:t>interlocuteurs</w:t>
      </w:r>
      <w:r w:rsidR="007D04C5" w:rsidRPr="00915B33">
        <w:rPr>
          <w:rFonts w:ascii="Times New Roman" w:hAnsi="Times New Roman" w:cs="Times New Roman"/>
          <w:color w:val="000000" w:themeColor="text1"/>
          <w:lang w:eastAsia="fr-FR"/>
        </w:rPr>
        <w:t xml:space="preserve"> que la CCPNCC </w:t>
      </w:r>
      <w:r w:rsidR="009F239C" w:rsidRPr="00915B33">
        <w:rPr>
          <w:rFonts w:ascii="Times New Roman" w:hAnsi="Times New Roman" w:cs="Times New Roman"/>
          <w:color w:val="000000" w:themeColor="text1"/>
          <w:lang w:eastAsia="fr-FR"/>
        </w:rPr>
        <w:t xml:space="preserve">est </w:t>
      </w:r>
      <w:r w:rsidR="001D72DF" w:rsidRPr="00915B33">
        <w:rPr>
          <w:rFonts w:ascii="Times New Roman" w:hAnsi="Times New Roman" w:cs="Times New Roman"/>
          <w:color w:val="000000" w:themeColor="text1"/>
          <w:lang w:eastAsia="fr-FR"/>
        </w:rPr>
        <w:t>disposée</w:t>
      </w:r>
      <w:r w:rsidR="009F239C" w:rsidRPr="00915B33">
        <w:rPr>
          <w:rFonts w:ascii="Times New Roman" w:hAnsi="Times New Roman" w:cs="Times New Roman"/>
          <w:color w:val="000000" w:themeColor="text1"/>
          <w:lang w:eastAsia="fr-FR"/>
        </w:rPr>
        <w:t xml:space="preserve"> à les accueillir dans le cadre de ses activités reliées aux ateliers qu’elle organise pour discuter des changements climatiques.</w:t>
      </w:r>
    </w:p>
    <w:p w14:paraId="0C2492C1" w14:textId="77777777" w:rsidR="00F27423" w:rsidRPr="00947FBA" w:rsidRDefault="00F27423" w:rsidP="00BC2557">
      <w:pPr>
        <w:pStyle w:val="Sous-titre"/>
        <w:numPr>
          <w:ilvl w:val="0"/>
          <w:numId w:val="28"/>
        </w:numPr>
        <w:outlineLvl w:val="2"/>
        <w:rPr>
          <w:lang w:eastAsia="fr-FR"/>
        </w:rPr>
      </w:pPr>
      <w:bookmarkStart w:id="62" w:name="_Toc157935485"/>
      <w:r w:rsidRPr="00947FBA">
        <w:rPr>
          <w:lang w:eastAsia="fr-FR"/>
        </w:rPr>
        <w:t>Assurance et contrôle qualité</w:t>
      </w:r>
      <w:bookmarkEnd w:id="62"/>
      <w:r w:rsidRPr="00947FBA">
        <w:rPr>
          <w:lang w:eastAsia="fr-FR"/>
        </w:rPr>
        <w:t xml:space="preserve"> </w:t>
      </w:r>
    </w:p>
    <w:p w14:paraId="721E9B33" w14:textId="3F339495" w:rsidR="00F27423" w:rsidRPr="00915B33" w:rsidRDefault="00F27423" w:rsidP="00B02B7B">
      <w:pPr>
        <w:spacing w:line="360" w:lineRule="auto"/>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 xml:space="preserve">Malgré des efforts de collaboration liés à la mise en place du </w:t>
      </w:r>
      <w:r w:rsidR="008E4A7A" w:rsidRPr="00915B33">
        <w:rPr>
          <w:rFonts w:ascii="Times New Roman" w:hAnsi="Times New Roman" w:cs="Times New Roman"/>
          <w:color w:val="000000" w:themeColor="text1"/>
          <w:lang w:eastAsia="fr-FR"/>
        </w:rPr>
        <w:t>groupe de travail sectoriel,</w:t>
      </w:r>
      <w:r w:rsidRPr="00915B33">
        <w:rPr>
          <w:rFonts w:ascii="Times New Roman" w:hAnsi="Times New Roman" w:cs="Times New Roman"/>
          <w:color w:val="000000" w:themeColor="text1"/>
          <w:lang w:eastAsia="fr-FR"/>
        </w:rPr>
        <w:t xml:space="preserve"> tout</w:t>
      </w:r>
      <w:r w:rsidR="00B56BAE" w:rsidRPr="00915B33">
        <w:rPr>
          <w:rFonts w:ascii="Times New Roman" w:hAnsi="Times New Roman" w:cs="Times New Roman"/>
          <w:color w:val="000000" w:themeColor="text1"/>
          <w:lang w:eastAsia="fr-FR"/>
        </w:rPr>
        <w:t xml:space="preserve">es les entreprises n’ont pas </w:t>
      </w:r>
      <w:r w:rsidR="008E4A7A" w:rsidRPr="00915B33">
        <w:rPr>
          <w:rFonts w:ascii="Times New Roman" w:hAnsi="Times New Roman" w:cs="Times New Roman"/>
          <w:color w:val="000000" w:themeColor="text1"/>
          <w:lang w:eastAsia="fr-FR"/>
        </w:rPr>
        <w:t>fourni</w:t>
      </w:r>
      <w:r w:rsidRPr="00915B33">
        <w:rPr>
          <w:rFonts w:ascii="Times New Roman" w:hAnsi="Times New Roman" w:cs="Times New Roman"/>
          <w:color w:val="000000" w:themeColor="text1"/>
          <w:lang w:eastAsia="fr-FR"/>
        </w:rPr>
        <w:t xml:space="preserve"> les données de production recherchées. Le recours aux données de la SYDONIA a permis de pa</w:t>
      </w:r>
      <w:r w:rsidR="00B56BAE" w:rsidRPr="00915B33">
        <w:rPr>
          <w:rFonts w:ascii="Times New Roman" w:hAnsi="Times New Roman" w:cs="Times New Roman"/>
          <w:color w:val="000000" w:themeColor="text1"/>
          <w:lang w:eastAsia="fr-FR"/>
        </w:rPr>
        <w:t>l</w:t>
      </w:r>
      <w:r w:rsidRPr="00915B33">
        <w:rPr>
          <w:rFonts w:ascii="Times New Roman" w:hAnsi="Times New Roman" w:cs="Times New Roman"/>
          <w:color w:val="000000" w:themeColor="text1"/>
          <w:lang w:eastAsia="fr-FR"/>
        </w:rPr>
        <w:t xml:space="preserve">lier </w:t>
      </w:r>
      <w:r w:rsidR="00C44574" w:rsidRPr="00915B33">
        <w:rPr>
          <w:rFonts w:ascii="Times New Roman" w:hAnsi="Times New Roman" w:cs="Times New Roman"/>
          <w:color w:val="000000" w:themeColor="text1"/>
          <w:lang w:eastAsia="fr-FR"/>
        </w:rPr>
        <w:t>cette contrainte</w:t>
      </w:r>
      <w:r w:rsidRPr="00915B33">
        <w:rPr>
          <w:rFonts w:ascii="Times New Roman" w:hAnsi="Times New Roman" w:cs="Times New Roman"/>
          <w:color w:val="000000" w:themeColor="text1"/>
          <w:lang w:eastAsia="fr-FR"/>
        </w:rPr>
        <w:t xml:space="preserve"> en fou</w:t>
      </w:r>
      <w:r w:rsidR="00B56BAE" w:rsidRPr="00915B33">
        <w:rPr>
          <w:rFonts w:ascii="Times New Roman" w:hAnsi="Times New Roman" w:cs="Times New Roman"/>
          <w:color w:val="000000" w:themeColor="text1"/>
          <w:lang w:eastAsia="fr-FR"/>
        </w:rPr>
        <w:t>r</w:t>
      </w:r>
      <w:r w:rsidRPr="00915B33">
        <w:rPr>
          <w:rFonts w:ascii="Times New Roman" w:hAnsi="Times New Roman" w:cs="Times New Roman"/>
          <w:color w:val="000000" w:themeColor="text1"/>
          <w:lang w:eastAsia="fr-FR"/>
        </w:rPr>
        <w:t>nissant des statistiques échelonnées dans le temps.</w:t>
      </w:r>
    </w:p>
    <w:p w14:paraId="1B34F05C" w14:textId="03658E71" w:rsidR="00F27423" w:rsidRPr="00947FBA" w:rsidRDefault="00B56BAE" w:rsidP="00BC2557">
      <w:pPr>
        <w:pStyle w:val="Sous-titre"/>
        <w:numPr>
          <w:ilvl w:val="0"/>
          <w:numId w:val="27"/>
        </w:numPr>
        <w:outlineLvl w:val="1"/>
      </w:pPr>
      <w:bookmarkStart w:id="63" w:name="_Toc489388312"/>
      <w:bookmarkStart w:id="64" w:name="_Toc157935486"/>
      <w:r w:rsidRPr="00947FBA">
        <w:t>Émissions</w:t>
      </w:r>
      <w:r w:rsidR="00F27423" w:rsidRPr="00947FBA">
        <w:t xml:space="preserve"> de l’industrie métallique</w:t>
      </w:r>
      <w:bookmarkEnd w:id="63"/>
      <w:bookmarkEnd w:id="64"/>
    </w:p>
    <w:p w14:paraId="58F5C493" w14:textId="77777777"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Le procédé de fabrication de ferroalliage de la SAFA fait intervenir de la ferraille récupérée auprès de ses principaux clients (SNIM, MCM ou TASIAST). Cette matière première est fondue dans des fours à induction jusqu’à liquéfaction, puis coulée dans les moules à l’aide d’un mélange de sable (silice), de résine et de catalyseur. Le CO</w:t>
      </w:r>
      <w:r w:rsidRPr="00915B33">
        <w:rPr>
          <w:rFonts w:ascii="Times New Roman" w:hAnsi="Times New Roman" w:cs="Times New Roman"/>
          <w:color w:val="000000" w:themeColor="text1"/>
          <w:vertAlign w:val="subscript"/>
        </w:rPr>
        <w:t>2</w:t>
      </w:r>
      <w:r w:rsidRPr="00915B33">
        <w:rPr>
          <w:rFonts w:ascii="Times New Roman" w:hAnsi="Times New Roman" w:cs="Times New Roman"/>
          <w:color w:val="000000" w:themeColor="text1"/>
        </w:rPr>
        <w:t xml:space="preserve"> libéré lors est calculé selon l’équation 4.15 du vol. 3 des LD 2006 du GIEC. </w:t>
      </w:r>
    </w:p>
    <w:p w14:paraId="67831C5C" w14:textId="77777777"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Compte tenu des circonstances nationales, les émissions sont calculées avec la méthode de niveau 1. Après plusieurs révisions, le facteur d’émission de CO</w:t>
      </w:r>
      <w:r w:rsidRPr="00915B33">
        <w:rPr>
          <w:rFonts w:ascii="Times New Roman" w:hAnsi="Times New Roman" w:cs="Times New Roman"/>
          <w:color w:val="000000" w:themeColor="text1"/>
          <w:vertAlign w:val="subscript"/>
        </w:rPr>
        <w:t>2</w:t>
      </w:r>
      <w:r w:rsidRPr="00915B33">
        <w:rPr>
          <w:rFonts w:ascii="Times New Roman" w:hAnsi="Times New Roman" w:cs="Times New Roman"/>
          <w:color w:val="000000" w:themeColor="text1"/>
        </w:rPr>
        <w:t xml:space="preserve"> par défaut du ferroalliage est estimé à 1,4 par les LD 2006 du GIEC (tableau 4.5).</w:t>
      </w:r>
    </w:p>
    <w:p w14:paraId="2BE3D0E9" w14:textId="77777777"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L’équation de calcul des émissions de CO</w:t>
      </w:r>
      <w:r w:rsidRPr="00915B33">
        <w:rPr>
          <w:rFonts w:ascii="Times New Roman" w:hAnsi="Times New Roman" w:cs="Times New Roman"/>
          <w:color w:val="000000" w:themeColor="text1"/>
          <w:vertAlign w:val="subscript"/>
        </w:rPr>
        <w:t>2</w:t>
      </w:r>
      <w:r w:rsidRPr="00915B33">
        <w:rPr>
          <w:rFonts w:ascii="Times New Roman" w:hAnsi="Times New Roman" w:cs="Times New Roman"/>
          <w:color w:val="000000" w:themeColor="text1"/>
        </w:rPr>
        <w:t xml:space="preserve"> fournie par le volume 3 des lignes directrices 2006 du GIEC s’écrit :</w:t>
      </w:r>
    </w:p>
    <w:p w14:paraId="5DD24C2A" w14:textId="77777777" w:rsidR="00F27423" w:rsidRPr="00915B33" w:rsidRDefault="00CA188C">
      <w:pPr>
        <w:jc w:val="center"/>
        <w:rPr>
          <w:rFonts w:ascii="Times New Roman" w:hAnsi="Times New Roman" w:cs="Times New Roman"/>
          <w:b/>
          <w:color w:val="000000" w:themeColor="text1"/>
        </w:rPr>
      </w:pPr>
      <w:r w:rsidRPr="00915B33">
        <w:rPr>
          <w:rFonts w:ascii="Times New Roman" w:hAnsi="Times New Roman" w:cs="Times New Roman"/>
          <w:noProof/>
          <w:color w:val="000000" w:themeColor="text1"/>
          <w:lang w:val="fr-CA" w:eastAsia="fr-CA"/>
        </w:rPr>
        <w:drawing>
          <wp:inline distT="0" distB="0" distL="0" distR="0" wp14:anchorId="13044B3D" wp14:editId="26C71D75">
            <wp:extent cx="1701800" cy="40640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1701800" cy="406400"/>
                    </a:xfrm>
                    <a:prstGeom prst="rect">
                      <a:avLst/>
                    </a:prstGeom>
                    <a:solidFill>
                      <a:srgbClr val="FFFFFF"/>
                    </a:solidFill>
                    <a:ln w="9525">
                      <a:noFill/>
                      <a:miter lim="800000"/>
                      <a:headEnd/>
                      <a:tailEnd/>
                    </a:ln>
                  </pic:spPr>
                </pic:pic>
              </a:graphicData>
            </a:graphic>
          </wp:inline>
        </w:drawing>
      </w:r>
    </w:p>
    <w:p w14:paraId="67C0D912" w14:textId="77777777" w:rsidR="00F27423" w:rsidRPr="00915B33" w:rsidRDefault="00F27423">
      <w:pPr>
        <w:spacing w:after="120" w:line="240" w:lineRule="auto"/>
        <w:jc w:val="both"/>
        <w:rPr>
          <w:rFonts w:ascii="Times New Roman" w:hAnsi="Times New Roman" w:cs="Times New Roman"/>
          <w:color w:val="000000" w:themeColor="text1"/>
        </w:rPr>
      </w:pPr>
      <w:r w:rsidRPr="00915B33">
        <w:rPr>
          <w:rFonts w:ascii="Times New Roman" w:hAnsi="Times New Roman" w:cs="Times New Roman"/>
          <w:b/>
          <w:color w:val="000000" w:themeColor="text1"/>
        </w:rPr>
        <w:t>Emissions de CO</w:t>
      </w:r>
      <w:r w:rsidRPr="00915B33">
        <w:rPr>
          <w:rFonts w:ascii="Times New Roman" w:hAnsi="Times New Roman" w:cs="Times New Roman"/>
          <w:b/>
          <w:color w:val="000000" w:themeColor="text1"/>
          <w:vertAlign w:val="subscript"/>
        </w:rPr>
        <w:t>2</w:t>
      </w:r>
      <w:r w:rsidRPr="00915B33">
        <w:rPr>
          <w:rFonts w:ascii="Times New Roman" w:hAnsi="Times New Roman" w:cs="Times New Roman"/>
          <w:b/>
          <w:color w:val="000000" w:themeColor="text1"/>
        </w:rPr>
        <w:t xml:space="preserve"> pour la production de ferroalliage par la méthode de niveau 1</w:t>
      </w:r>
    </w:p>
    <w:p w14:paraId="6C54845E" w14:textId="77777777" w:rsidR="00F27423" w:rsidRPr="00915B33" w:rsidRDefault="00F27423">
      <w:pPr>
        <w:spacing w:after="120" w:line="240" w:lineRule="auto"/>
        <w:ind w:left="920" w:hanging="636"/>
        <w:jc w:val="both"/>
        <w:rPr>
          <w:rFonts w:ascii="Times New Roman" w:hAnsi="Times New Roman" w:cs="Times New Roman"/>
          <w:color w:val="000000" w:themeColor="text1"/>
        </w:rPr>
      </w:pPr>
      <w:r w:rsidRPr="00915B33">
        <w:rPr>
          <w:rFonts w:ascii="Times New Roman" w:hAnsi="Times New Roman" w:cs="Times New Roman"/>
          <w:color w:val="000000" w:themeColor="text1"/>
        </w:rPr>
        <w:t>E</w:t>
      </w:r>
      <w:r w:rsidRPr="00915B33">
        <w:rPr>
          <w:rFonts w:ascii="Times New Roman" w:hAnsi="Times New Roman" w:cs="Times New Roman"/>
          <w:color w:val="000000" w:themeColor="text1"/>
          <w:vertAlign w:val="subscript"/>
        </w:rPr>
        <w:t>CO2</w:t>
      </w:r>
      <w:r w:rsidRPr="00915B33">
        <w:rPr>
          <w:rFonts w:ascii="Times New Roman" w:hAnsi="Times New Roman" w:cs="Times New Roman"/>
          <w:color w:val="000000" w:themeColor="text1"/>
        </w:rPr>
        <w:t> : émissions de CO</w:t>
      </w:r>
      <w:r w:rsidRPr="00915B33">
        <w:rPr>
          <w:rFonts w:ascii="Times New Roman" w:hAnsi="Times New Roman" w:cs="Times New Roman"/>
          <w:color w:val="000000" w:themeColor="text1"/>
          <w:vertAlign w:val="subscript"/>
        </w:rPr>
        <w:t xml:space="preserve">2 </w:t>
      </w:r>
      <w:r w:rsidRPr="00915B33">
        <w:rPr>
          <w:rFonts w:ascii="Times New Roman" w:hAnsi="Times New Roman" w:cs="Times New Roman"/>
          <w:color w:val="000000" w:themeColor="text1"/>
        </w:rPr>
        <w:t xml:space="preserve">en tonnes </w:t>
      </w:r>
    </w:p>
    <w:p w14:paraId="0166FB85" w14:textId="402AB175" w:rsidR="00F27423" w:rsidRPr="00915B33" w:rsidRDefault="00F27423">
      <w:pPr>
        <w:spacing w:after="120" w:line="240" w:lineRule="auto"/>
        <w:ind w:left="920" w:hanging="636"/>
        <w:jc w:val="both"/>
        <w:rPr>
          <w:rFonts w:ascii="Times New Roman" w:hAnsi="Times New Roman" w:cs="Times New Roman"/>
          <w:color w:val="000000" w:themeColor="text1"/>
        </w:rPr>
      </w:pPr>
      <w:r w:rsidRPr="00915B33">
        <w:rPr>
          <w:rFonts w:ascii="Times New Roman" w:hAnsi="Times New Roman" w:cs="Times New Roman"/>
          <w:color w:val="000000" w:themeColor="text1"/>
        </w:rPr>
        <w:t>MP</w:t>
      </w:r>
      <w:r w:rsidRPr="00915B33">
        <w:rPr>
          <w:rFonts w:ascii="Times New Roman" w:hAnsi="Times New Roman" w:cs="Times New Roman"/>
          <w:color w:val="000000" w:themeColor="text1"/>
          <w:vertAlign w:val="subscript"/>
        </w:rPr>
        <w:t>i</w:t>
      </w:r>
      <w:r w:rsidRPr="00915B33">
        <w:rPr>
          <w:rFonts w:ascii="Times New Roman" w:hAnsi="Times New Roman" w:cs="Times New Roman"/>
          <w:color w:val="000000" w:themeColor="text1"/>
        </w:rPr>
        <w:t xml:space="preserve"> : production de ferroalliages de type </w:t>
      </w:r>
      <w:r w:rsidRPr="00915B33">
        <w:rPr>
          <w:rFonts w:ascii="Times New Roman" w:hAnsi="Times New Roman" w:cs="Times New Roman"/>
          <w:i/>
          <w:iCs/>
          <w:color w:val="000000" w:themeColor="text1"/>
        </w:rPr>
        <w:t>i en</w:t>
      </w:r>
      <w:r w:rsidRPr="00915B33">
        <w:rPr>
          <w:rFonts w:ascii="Times New Roman" w:hAnsi="Times New Roman" w:cs="Times New Roman"/>
          <w:color w:val="000000" w:themeColor="text1"/>
        </w:rPr>
        <w:t xml:space="preserve"> tonnes </w:t>
      </w:r>
    </w:p>
    <w:p w14:paraId="66CBCA0C" w14:textId="373D2457" w:rsidR="00F27423" w:rsidRPr="00915B33" w:rsidRDefault="007E31B8">
      <w:pPr>
        <w:ind w:left="284"/>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rPr>
        <w:t>FE</w:t>
      </w:r>
      <w:r w:rsidRPr="00915B33">
        <w:rPr>
          <w:rFonts w:ascii="Times New Roman" w:hAnsi="Times New Roman" w:cs="Times New Roman"/>
          <w:color w:val="000000" w:themeColor="text1"/>
          <w:vertAlign w:val="subscript"/>
        </w:rPr>
        <w:t>i :</w:t>
      </w:r>
      <w:r w:rsidR="00F27423" w:rsidRPr="00915B33">
        <w:rPr>
          <w:rFonts w:ascii="Times New Roman" w:hAnsi="Times New Roman" w:cs="Times New Roman"/>
          <w:color w:val="000000" w:themeColor="text1"/>
        </w:rPr>
        <w:t xml:space="preserve"> Facteur d’émission de CO</w:t>
      </w:r>
      <w:r w:rsidR="00F27423" w:rsidRPr="00915B33">
        <w:rPr>
          <w:rFonts w:ascii="Times New Roman" w:hAnsi="Times New Roman" w:cs="Times New Roman"/>
          <w:color w:val="000000" w:themeColor="text1"/>
          <w:vertAlign w:val="subscript"/>
        </w:rPr>
        <w:t>2</w:t>
      </w:r>
      <w:r w:rsidR="00F27423" w:rsidRPr="00915B33">
        <w:rPr>
          <w:rFonts w:ascii="Times New Roman" w:hAnsi="Times New Roman" w:cs="Times New Roman"/>
          <w:color w:val="000000" w:themeColor="text1"/>
        </w:rPr>
        <w:t xml:space="preserve"> générique du ferroalliage de type i, tonnes de CO</w:t>
      </w:r>
      <w:r w:rsidR="00F27423" w:rsidRPr="00915B33">
        <w:rPr>
          <w:rFonts w:ascii="Times New Roman" w:hAnsi="Times New Roman" w:cs="Times New Roman"/>
          <w:color w:val="000000" w:themeColor="text1"/>
          <w:vertAlign w:val="subscript"/>
        </w:rPr>
        <w:t>2</w:t>
      </w:r>
      <w:r w:rsidR="00F27423" w:rsidRPr="00915B33">
        <w:rPr>
          <w:rFonts w:ascii="Times New Roman" w:hAnsi="Times New Roman" w:cs="Times New Roman"/>
          <w:color w:val="000000" w:themeColor="text1"/>
        </w:rPr>
        <w:t xml:space="preserve"> / tonne de ferroalliage spécifique produite.</w:t>
      </w:r>
    </w:p>
    <w:p w14:paraId="7EB52C90" w14:textId="011E1917" w:rsidR="00F27423" w:rsidRPr="00915B33" w:rsidRDefault="00F27423" w:rsidP="00F27423">
      <w:pPr>
        <w:jc w:val="center"/>
        <w:rPr>
          <w:rFonts w:ascii="Times New Roman" w:eastAsia="Times New Roman" w:hAnsi="Times New Roman" w:cs="Times New Roman"/>
          <w:b/>
          <w:bCs/>
          <w:color w:val="000000" w:themeColor="text1"/>
          <w:lang w:eastAsia="fr-FR"/>
        </w:rPr>
      </w:pPr>
      <w:r w:rsidRPr="00915B33">
        <w:rPr>
          <w:rFonts w:ascii="Times New Roman" w:hAnsi="Times New Roman" w:cs="Times New Roman"/>
          <w:b/>
          <w:color w:val="000000" w:themeColor="text1"/>
          <w:lang w:eastAsia="fr-FR"/>
        </w:rPr>
        <w:t xml:space="preserve">Tableau </w:t>
      </w:r>
      <w:r w:rsidR="004D2746" w:rsidRPr="00915B33">
        <w:rPr>
          <w:rFonts w:ascii="Times New Roman" w:hAnsi="Times New Roman" w:cs="Times New Roman"/>
          <w:b/>
          <w:color w:val="000000" w:themeColor="text1"/>
          <w:lang w:eastAsia="fr-FR"/>
        </w:rPr>
        <w:t>1</w:t>
      </w:r>
      <w:r w:rsidR="00ED20B6" w:rsidRPr="00915B33">
        <w:rPr>
          <w:rFonts w:ascii="Times New Roman" w:hAnsi="Times New Roman" w:cs="Times New Roman"/>
          <w:b/>
          <w:color w:val="000000" w:themeColor="text1"/>
          <w:lang w:eastAsia="fr-FR"/>
        </w:rPr>
        <w:t>7</w:t>
      </w:r>
      <w:r w:rsidR="004D2746" w:rsidRPr="00915B33">
        <w:rPr>
          <w:rFonts w:ascii="Times New Roman" w:hAnsi="Times New Roman" w:cs="Times New Roman"/>
          <w:b/>
          <w:color w:val="000000" w:themeColor="text1"/>
          <w:lang w:eastAsia="fr-FR"/>
        </w:rPr>
        <w:t xml:space="preserve"> </w:t>
      </w:r>
      <w:r w:rsidRPr="00915B33">
        <w:rPr>
          <w:rFonts w:ascii="Times New Roman" w:hAnsi="Times New Roman" w:cs="Times New Roman"/>
          <w:color w:val="000000" w:themeColor="text1"/>
          <w:lang w:eastAsia="fr-FR"/>
        </w:rPr>
        <w:t>: Les FE de CO</w:t>
      </w:r>
      <w:r w:rsidRPr="00915B33">
        <w:rPr>
          <w:rFonts w:ascii="Times New Roman" w:hAnsi="Times New Roman" w:cs="Times New Roman"/>
          <w:color w:val="000000" w:themeColor="text1"/>
          <w:vertAlign w:val="subscript"/>
          <w:lang w:eastAsia="fr-FR"/>
        </w:rPr>
        <w:t>2</w:t>
      </w:r>
      <w:r w:rsidRPr="00915B33">
        <w:rPr>
          <w:rFonts w:ascii="Times New Roman" w:hAnsi="Times New Roman" w:cs="Times New Roman"/>
          <w:color w:val="000000" w:themeColor="text1"/>
          <w:lang w:eastAsia="fr-FR"/>
        </w:rPr>
        <w:t xml:space="preserve"> des types de ferroalliages (GIEC, 2006)</w:t>
      </w:r>
      <w:r w:rsidRPr="00915B33">
        <w:rPr>
          <w:rStyle w:val="Appelnotedebasdep"/>
          <w:rFonts w:ascii="Times New Roman" w:hAnsi="Times New Roman" w:cs="Times New Roman"/>
          <w:color w:val="000000" w:themeColor="text1"/>
          <w:lang w:eastAsia="fr-FR"/>
        </w:rPr>
        <w:footnoteReference w:id="17"/>
      </w:r>
    </w:p>
    <w:tbl>
      <w:tblPr>
        <w:tblW w:w="0" w:type="auto"/>
        <w:jc w:val="center"/>
        <w:tblLayout w:type="fixed"/>
        <w:tblCellMar>
          <w:left w:w="70" w:type="dxa"/>
          <w:right w:w="70" w:type="dxa"/>
        </w:tblCellMar>
        <w:tblLook w:val="0000" w:firstRow="0" w:lastRow="0" w:firstColumn="0" w:lastColumn="0" w:noHBand="0" w:noVBand="0"/>
      </w:tblPr>
      <w:tblGrid>
        <w:gridCol w:w="2059"/>
        <w:gridCol w:w="3056"/>
        <w:gridCol w:w="2411"/>
      </w:tblGrid>
      <w:tr w:rsidR="00915B33" w:rsidRPr="00915B33" w14:paraId="2BF1EF84" w14:textId="77777777" w:rsidTr="00F27423">
        <w:trPr>
          <w:trHeight w:val="315"/>
          <w:jc w:val="center"/>
        </w:trPr>
        <w:tc>
          <w:tcPr>
            <w:tcW w:w="2059" w:type="dxa"/>
            <w:tcBorders>
              <w:top w:val="single" w:sz="8" w:space="0" w:color="000000"/>
              <w:left w:val="single" w:sz="8" w:space="0" w:color="000000"/>
              <w:bottom w:val="single" w:sz="4" w:space="0" w:color="000000"/>
              <w:right w:val="single" w:sz="4" w:space="0" w:color="000000"/>
            </w:tcBorders>
            <w:shd w:val="clear" w:color="auto" w:fill="FFFFFF"/>
            <w:vAlign w:val="bottom"/>
          </w:tcPr>
          <w:p w14:paraId="077B8188" w14:textId="77777777" w:rsidR="00F27423" w:rsidRPr="00915B33" w:rsidRDefault="00F27423">
            <w:pPr>
              <w:spacing w:line="240" w:lineRule="auto"/>
              <w:jc w:val="both"/>
              <w:rPr>
                <w:rFonts w:ascii="Times New Roman" w:eastAsia="Times New Roman" w:hAnsi="Times New Roman" w:cs="Times New Roman"/>
                <w:b/>
                <w:bCs/>
                <w:color w:val="000000" w:themeColor="text1"/>
                <w:lang w:eastAsia="fr-FR"/>
              </w:rPr>
            </w:pPr>
            <w:r w:rsidRPr="00915B33">
              <w:rPr>
                <w:rFonts w:ascii="Times New Roman" w:eastAsia="Times New Roman" w:hAnsi="Times New Roman" w:cs="Times New Roman"/>
                <w:b/>
                <w:bCs/>
                <w:color w:val="000000" w:themeColor="text1"/>
                <w:lang w:eastAsia="fr-FR"/>
              </w:rPr>
              <w:t>Type de ferroalliage</w:t>
            </w:r>
          </w:p>
        </w:tc>
        <w:tc>
          <w:tcPr>
            <w:tcW w:w="3056" w:type="dxa"/>
            <w:tcBorders>
              <w:top w:val="single" w:sz="8" w:space="0" w:color="000000"/>
              <w:bottom w:val="single" w:sz="4" w:space="0" w:color="000000"/>
              <w:right w:val="single" w:sz="4" w:space="0" w:color="000000"/>
            </w:tcBorders>
            <w:shd w:val="clear" w:color="auto" w:fill="FFFFFF"/>
            <w:vAlign w:val="bottom"/>
          </w:tcPr>
          <w:p w14:paraId="28250391" w14:textId="77777777" w:rsidR="00F27423" w:rsidRPr="00915B33" w:rsidRDefault="00F27423">
            <w:pPr>
              <w:spacing w:line="240" w:lineRule="auto"/>
              <w:jc w:val="both"/>
              <w:rPr>
                <w:rFonts w:ascii="Times New Roman" w:eastAsia="Times New Roman" w:hAnsi="Times New Roman" w:cs="Times New Roman"/>
                <w:b/>
                <w:bCs/>
                <w:color w:val="000000" w:themeColor="text1"/>
                <w:lang w:eastAsia="fr-FR"/>
              </w:rPr>
            </w:pPr>
            <w:r w:rsidRPr="00915B33">
              <w:rPr>
                <w:rFonts w:ascii="Times New Roman" w:eastAsia="Times New Roman" w:hAnsi="Times New Roman" w:cs="Times New Roman"/>
                <w:b/>
                <w:bCs/>
                <w:color w:val="000000" w:themeColor="text1"/>
                <w:lang w:eastAsia="fr-FR"/>
              </w:rPr>
              <w:t>Correspondance ferroalliage LD</w:t>
            </w:r>
          </w:p>
        </w:tc>
        <w:tc>
          <w:tcPr>
            <w:tcW w:w="2411" w:type="dxa"/>
            <w:tcBorders>
              <w:top w:val="single" w:sz="8" w:space="0" w:color="000000"/>
              <w:bottom w:val="single" w:sz="4" w:space="0" w:color="000000"/>
              <w:right w:val="single" w:sz="8" w:space="0" w:color="000000"/>
            </w:tcBorders>
            <w:shd w:val="clear" w:color="auto" w:fill="FFFFFF"/>
            <w:vAlign w:val="bottom"/>
          </w:tcPr>
          <w:p w14:paraId="2F069E41" w14:textId="77777777" w:rsidR="00F27423" w:rsidRPr="00915B33" w:rsidRDefault="00F27423">
            <w:pPr>
              <w:spacing w:line="240" w:lineRule="auto"/>
              <w:jc w:val="both"/>
              <w:rPr>
                <w:rFonts w:ascii="Times New Roman" w:hAnsi="Times New Roman" w:cs="Times New Roman"/>
                <w:color w:val="000000" w:themeColor="text1"/>
              </w:rPr>
            </w:pPr>
            <w:r w:rsidRPr="00915B33">
              <w:rPr>
                <w:rFonts w:ascii="Times New Roman" w:eastAsia="Times New Roman" w:hAnsi="Times New Roman" w:cs="Times New Roman"/>
                <w:b/>
                <w:bCs/>
                <w:color w:val="000000" w:themeColor="text1"/>
                <w:lang w:eastAsia="fr-FR"/>
              </w:rPr>
              <w:t>Facteurs d'émission</w:t>
            </w:r>
          </w:p>
        </w:tc>
      </w:tr>
      <w:tr w:rsidR="00915B33" w:rsidRPr="00915B33" w14:paraId="55844BA3" w14:textId="77777777" w:rsidTr="00F27423">
        <w:trPr>
          <w:trHeight w:val="330"/>
          <w:jc w:val="center"/>
        </w:trPr>
        <w:tc>
          <w:tcPr>
            <w:tcW w:w="2059" w:type="dxa"/>
            <w:tcBorders>
              <w:left w:val="single" w:sz="4" w:space="0" w:color="000000"/>
              <w:bottom w:val="single" w:sz="4" w:space="0" w:color="000000"/>
              <w:right w:val="single" w:sz="4" w:space="0" w:color="000000"/>
            </w:tcBorders>
            <w:shd w:val="clear" w:color="auto" w:fill="FFFFFF"/>
            <w:vAlign w:val="bottom"/>
          </w:tcPr>
          <w:p w14:paraId="7B7E74DD"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b/>
                <w:bCs/>
                <w:color w:val="000000" w:themeColor="text1"/>
                <w:lang w:eastAsia="fr-FR"/>
              </w:rPr>
              <w:t>Fonte</w:t>
            </w:r>
          </w:p>
        </w:tc>
        <w:tc>
          <w:tcPr>
            <w:tcW w:w="3056" w:type="dxa"/>
            <w:tcBorders>
              <w:left w:val="single" w:sz="8" w:space="0" w:color="000000"/>
              <w:bottom w:val="single" w:sz="4" w:space="0" w:color="000000"/>
              <w:right w:val="single" w:sz="4" w:space="0" w:color="000000"/>
            </w:tcBorders>
            <w:shd w:val="clear" w:color="auto" w:fill="FFFFFF"/>
            <w:vAlign w:val="bottom"/>
          </w:tcPr>
          <w:p w14:paraId="3D56414A"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Ferrosilicon 45% Si </w:t>
            </w:r>
          </w:p>
        </w:tc>
        <w:tc>
          <w:tcPr>
            <w:tcW w:w="2411" w:type="dxa"/>
            <w:tcBorders>
              <w:bottom w:val="single" w:sz="4" w:space="0" w:color="000000"/>
              <w:right w:val="single" w:sz="8" w:space="0" w:color="000000"/>
            </w:tcBorders>
            <w:shd w:val="clear" w:color="auto" w:fill="FFFFFF"/>
            <w:vAlign w:val="center"/>
          </w:tcPr>
          <w:p w14:paraId="3113893A"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2,5</w:t>
            </w:r>
          </w:p>
        </w:tc>
      </w:tr>
      <w:tr w:rsidR="00915B33" w:rsidRPr="00915B33" w14:paraId="7D5056E2" w14:textId="77777777" w:rsidTr="00F27423">
        <w:trPr>
          <w:trHeight w:val="315"/>
          <w:jc w:val="center"/>
        </w:trPr>
        <w:tc>
          <w:tcPr>
            <w:tcW w:w="2059" w:type="dxa"/>
            <w:tcBorders>
              <w:left w:val="single" w:sz="4" w:space="0" w:color="000000"/>
              <w:bottom w:val="single" w:sz="4" w:space="0" w:color="000000"/>
              <w:right w:val="single" w:sz="4" w:space="0" w:color="000000"/>
            </w:tcBorders>
            <w:shd w:val="clear" w:color="auto" w:fill="FFFFFF"/>
            <w:vAlign w:val="bottom"/>
          </w:tcPr>
          <w:p w14:paraId="4F5696B0"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b/>
                <w:bCs/>
                <w:color w:val="000000" w:themeColor="text1"/>
                <w:lang w:eastAsia="fr-FR"/>
              </w:rPr>
              <w:t>Acier au manganèse</w:t>
            </w:r>
          </w:p>
        </w:tc>
        <w:tc>
          <w:tcPr>
            <w:tcW w:w="3056" w:type="dxa"/>
            <w:tcBorders>
              <w:left w:val="single" w:sz="8" w:space="0" w:color="000000"/>
              <w:bottom w:val="single" w:sz="4" w:space="0" w:color="000000"/>
              <w:right w:val="single" w:sz="4" w:space="0" w:color="000000"/>
            </w:tcBorders>
            <w:shd w:val="clear" w:color="auto" w:fill="FFFFFF"/>
            <w:vAlign w:val="bottom"/>
          </w:tcPr>
          <w:p w14:paraId="47DFBC0C"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Silicomanganèse </w:t>
            </w:r>
          </w:p>
        </w:tc>
        <w:tc>
          <w:tcPr>
            <w:tcW w:w="2411" w:type="dxa"/>
            <w:tcBorders>
              <w:bottom w:val="single" w:sz="4" w:space="0" w:color="000000"/>
              <w:right w:val="single" w:sz="8" w:space="0" w:color="000000"/>
            </w:tcBorders>
            <w:shd w:val="clear" w:color="auto" w:fill="FFFFFF"/>
            <w:vAlign w:val="center"/>
          </w:tcPr>
          <w:p w14:paraId="6D3DF797"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1,4</w:t>
            </w:r>
          </w:p>
        </w:tc>
      </w:tr>
      <w:tr w:rsidR="00915B33" w:rsidRPr="00915B33" w14:paraId="60DE7DC7" w14:textId="77777777" w:rsidTr="00F27423">
        <w:trPr>
          <w:trHeight w:val="315"/>
          <w:jc w:val="center"/>
        </w:trPr>
        <w:tc>
          <w:tcPr>
            <w:tcW w:w="2059" w:type="dxa"/>
            <w:tcBorders>
              <w:left w:val="single" w:sz="4" w:space="0" w:color="000000"/>
              <w:bottom w:val="single" w:sz="4" w:space="0" w:color="000000"/>
              <w:right w:val="single" w:sz="4" w:space="0" w:color="000000"/>
            </w:tcBorders>
            <w:shd w:val="clear" w:color="auto" w:fill="FFFFFF"/>
            <w:vAlign w:val="bottom"/>
          </w:tcPr>
          <w:p w14:paraId="0E222633"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b/>
                <w:bCs/>
                <w:color w:val="000000" w:themeColor="text1"/>
                <w:lang w:eastAsia="fr-FR"/>
              </w:rPr>
              <w:t>Acier ordinaire</w:t>
            </w:r>
          </w:p>
        </w:tc>
        <w:tc>
          <w:tcPr>
            <w:tcW w:w="3056" w:type="dxa"/>
            <w:tcBorders>
              <w:left w:val="single" w:sz="8" w:space="0" w:color="000000"/>
              <w:bottom w:val="single" w:sz="4" w:space="0" w:color="000000"/>
              <w:right w:val="single" w:sz="4" w:space="0" w:color="000000"/>
            </w:tcBorders>
            <w:shd w:val="clear" w:color="auto" w:fill="FFFFFF"/>
            <w:vAlign w:val="bottom"/>
          </w:tcPr>
          <w:p w14:paraId="4F201D03"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lang w:eastAsia="fr-FR"/>
              </w:rPr>
              <w:t>Silicon metal </w:t>
            </w:r>
          </w:p>
        </w:tc>
        <w:tc>
          <w:tcPr>
            <w:tcW w:w="2411" w:type="dxa"/>
            <w:tcBorders>
              <w:bottom w:val="single" w:sz="4" w:space="0" w:color="000000"/>
              <w:right w:val="single" w:sz="8" w:space="0" w:color="000000"/>
            </w:tcBorders>
            <w:shd w:val="clear" w:color="auto" w:fill="FFFFFF"/>
            <w:vAlign w:val="center"/>
          </w:tcPr>
          <w:p w14:paraId="1E05D58E"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5</w:t>
            </w:r>
          </w:p>
        </w:tc>
      </w:tr>
      <w:tr w:rsidR="00915B33" w:rsidRPr="00915B33" w14:paraId="5DA27BCF" w14:textId="77777777" w:rsidTr="00F27423">
        <w:trPr>
          <w:trHeight w:val="330"/>
          <w:jc w:val="center"/>
        </w:trPr>
        <w:tc>
          <w:tcPr>
            <w:tcW w:w="2059" w:type="dxa"/>
            <w:tcBorders>
              <w:left w:val="single" w:sz="4" w:space="0" w:color="000000"/>
              <w:bottom w:val="single" w:sz="8" w:space="0" w:color="000000"/>
              <w:right w:val="single" w:sz="4" w:space="0" w:color="000000"/>
            </w:tcBorders>
            <w:shd w:val="clear" w:color="auto" w:fill="FFFFFF"/>
            <w:vAlign w:val="bottom"/>
          </w:tcPr>
          <w:p w14:paraId="528C2949" w14:textId="77777777" w:rsidR="00F27423" w:rsidRPr="00915B33" w:rsidRDefault="00F27423">
            <w:pPr>
              <w:spacing w:line="240" w:lineRule="auto"/>
              <w:jc w:val="both"/>
              <w:rPr>
                <w:rFonts w:ascii="Times New Roman" w:eastAsia="Times New Roman" w:hAnsi="Times New Roman" w:cs="Times New Roman"/>
                <w:color w:val="000000" w:themeColor="text1"/>
                <w:sz w:val="14"/>
                <w:szCs w:val="14"/>
                <w:lang w:eastAsia="fr-FR"/>
              </w:rPr>
            </w:pPr>
            <w:r w:rsidRPr="00915B33">
              <w:rPr>
                <w:rFonts w:ascii="Times New Roman" w:eastAsia="Times New Roman" w:hAnsi="Times New Roman" w:cs="Times New Roman"/>
                <w:b/>
                <w:bCs/>
                <w:color w:val="000000" w:themeColor="text1"/>
                <w:lang w:eastAsia="fr-FR"/>
              </w:rPr>
              <w:t>Acier au chrome</w:t>
            </w:r>
          </w:p>
        </w:tc>
        <w:tc>
          <w:tcPr>
            <w:tcW w:w="3056" w:type="dxa"/>
            <w:tcBorders>
              <w:left w:val="single" w:sz="8" w:space="0" w:color="000000"/>
              <w:bottom w:val="single" w:sz="8" w:space="0" w:color="000000"/>
              <w:right w:val="single" w:sz="4" w:space="0" w:color="000000"/>
            </w:tcBorders>
            <w:shd w:val="clear" w:color="auto" w:fill="FFFFFF"/>
            <w:vAlign w:val="bottom"/>
          </w:tcPr>
          <w:p w14:paraId="6618C83C" w14:textId="77777777" w:rsidR="00F27423" w:rsidRPr="00915B33" w:rsidRDefault="00F27423">
            <w:pPr>
              <w:spacing w:line="240" w:lineRule="auto"/>
              <w:jc w:val="both"/>
              <w:rPr>
                <w:rFonts w:ascii="Times New Roman" w:eastAsia="Times New Roman" w:hAnsi="Times New Roman" w:cs="Times New Roman"/>
                <w:color w:val="000000" w:themeColor="text1"/>
                <w:lang w:eastAsia="fr-FR"/>
              </w:rPr>
            </w:pPr>
            <w:r w:rsidRPr="00915B33">
              <w:rPr>
                <w:rFonts w:ascii="Times New Roman" w:eastAsia="Times New Roman" w:hAnsi="Times New Roman" w:cs="Times New Roman"/>
                <w:color w:val="000000" w:themeColor="text1"/>
                <w:sz w:val="14"/>
                <w:szCs w:val="14"/>
                <w:lang w:eastAsia="fr-FR"/>
              </w:rPr>
              <w:t> </w:t>
            </w:r>
            <w:r w:rsidRPr="00915B33">
              <w:rPr>
                <w:rFonts w:ascii="Times New Roman" w:eastAsia="Times New Roman" w:hAnsi="Times New Roman" w:cs="Times New Roman"/>
                <w:color w:val="000000" w:themeColor="text1"/>
                <w:lang w:eastAsia="fr-FR"/>
              </w:rPr>
              <w:t>Ferrochromium </w:t>
            </w:r>
          </w:p>
        </w:tc>
        <w:tc>
          <w:tcPr>
            <w:tcW w:w="2411" w:type="dxa"/>
            <w:tcBorders>
              <w:bottom w:val="single" w:sz="8" w:space="0" w:color="000000"/>
              <w:right w:val="single" w:sz="8" w:space="0" w:color="000000"/>
            </w:tcBorders>
            <w:shd w:val="clear" w:color="auto" w:fill="FFFFFF"/>
            <w:vAlign w:val="center"/>
          </w:tcPr>
          <w:p w14:paraId="5FC68328"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eastAsia="Times New Roman" w:hAnsi="Times New Roman" w:cs="Times New Roman"/>
                <w:color w:val="000000" w:themeColor="text1"/>
                <w:lang w:eastAsia="fr-FR"/>
              </w:rPr>
              <w:t>1,3</w:t>
            </w:r>
          </w:p>
        </w:tc>
      </w:tr>
    </w:tbl>
    <w:p w14:paraId="3B20CB50" w14:textId="64ABF788" w:rsidR="00F27423" w:rsidRPr="00915B33" w:rsidRDefault="00F27423" w:rsidP="00B02B7B">
      <w:pPr>
        <w:spacing w:line="360" w:lineRule="auto"/>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 xml:space="preserve">L’obtention de données plus détaillées sur </w:t>
      </w:r>
      <w:r w:rsidR="001D48AD" w:rsidRPr="00915B33">
        <w:rPr>
          <w:rFonts w:ascii="Times New Roman" w:hAnsi="Times New Roman" w:cs="Times New Roman"/>
          <w:color w:val="000000" w:themeColor="text1"/>
          <w:lang w:eastAsia="fr-FR"/>
        </w:rPr>
        <w:t xml:space="preserve">la </w:t>
      </w:r>
      <w:r w:rsidRPr="00915B33">
        <w:rPr>
          <w:rFonts w:ascii="Times New Roman" w:hAnsi="Times New Roman" w:cs="Times New Roman"/>
          <w:color w:val="000000" w:themeColor="text1"/>
          <w:lang w:eastAsia="fr-FR"/>
        </w:rPr>
        <w:t>nature et la production des types de ferroalliages (à partir de 2007) s’est traduite par des ém</w:t>
      </w:r>
      <w:r w:rsidR="00B56BAE" w:rsidRPr="00915B33">
        <w:rPr>
          <w:rFonts w:ascii="Times New Roman" w:hAnsi="Times New Roman" w:cs="Times New Roman"/>
          <w:color w:val="000000" w:themeColor="text1"/>
          <w:lang w:eastAsia="fr-FR"/>
        </w:rPr>
        <w:t>i</w:t>
      </w:r>
      <w:r w:rsidRPr="00915B33">
        <w:rPr>
          <w:rFonts w:ascii="Times New Roman" w:hAnsi="Times New Roman" w:cs="Times New Roman"/>
          <w:color w:val="000000" w:themeColor="text1"/>
          <w:lang w:eastAsia="fr-FR"/>
        </w:rPr>
        <w:t>ssions de CO</w:t>
      </w:r>
      <w:r w:rsidRPr="00915B33">
        <w:rPr>
          <w:rFonts w:ascii="Times New Roman" w:hAnsi="Times New Roman" w:cs="Times New Roman"/>
          <w:color w:val="000000" w:themeColor="text1"/>
          <w:vertAlign w:val="subscript"/>
          <w:lang w:eastAsia="fr-FR"/>
        </w:rPr>
        <w:t>2</w:t>
      </w:r>
      <w:r w:rsidRPr="00915B33">
        <w:rPr>
          <w:rFonts w:ascii="Times New Roman" w:hAnsi="Times New Roman" w:cs="Times New Roman"/>
          <w:color w:val="000000" w:themeColor="text1"/>
          <w:lang w:eastAsia="fr-FR"/>
        </w:rPr>
        <w:t xml:space="preserve"> estimé</w:t>
      </w:r>
      <w:r w:rsidR="001D48AD" w:rsidRPr="00915B33">
        <w:rPr>
          <w:rFonts w:ascii="Times New Roman" w:hAnsi="Times New Roman" w:cs="Times New Roman"/>
          <w:color w:val="000000" w:themeColor="text1"/>
          <w:lang w:eastAsia="fr-FR"/>
        </w:rPr>
        <w:t>es</w:t>
      </w:r>
      <w:r w:rsidRPr="00915B33">
        <w:rPr>
          <w:rFonts w:ascii="Times New Roman" w:hAnsi="Times New Roman" w:cs="Times New Roman"/>
          <w:color w:val="000000" w:themeColor="text1"/>
          <w:lang w:eastAsia="fr-FR"/>
        </w:rPr>
        <w:t xml:space="preserve"> à 1,</w:t>
      </w:r>
      <w:r w:rsidR="00803472" w:rsidRPr="00915B33">
        <w:rPr>
          <w:rFonts w:ascii="Times New Roman" w:hAnsi="Times New Roman" w:cs="Times New Roman"/>
          <w:color w:val="000000" w:themeColor="text1"/>
          <w:lang w:eastAsia="fr-FR"/>
        </w:rPr>
        <w:t>94</w:t>
      </w:r>
      <w:r w:rsidRPr="00915B33">
        <w:rPr>
          <w:rFonts w:ascii="Times New Roman" w:hAnsi="Times New Roman" w:cs="Times New Roman"/>
          <w:color w:val="000000" w:themeColor="text1"/>
          <w:lang w:eastAsia="fr-FR"/>
        </w:rPr>
        <w:t xml:space="preserve"> Gg Eq CO</w:t>
      </w:r>
      <w:r w:rsidRPr="00915B33">
        <w:rPr>
          <w:rFonts w:ascii="Times New Roman" w:hAnsi="Times New Roman" w:cs="Times New Roman"/>
          <w:color w:val="000000" w:themeColor="text1"/>
          <w:vertAlign w:val="subscript"/>
          <w:lang w:eastAsia="fr-FR"/>
        </w:rPr>
        <w:t>2</w:t>
      </w:r>
      <w:r w:rsidRPr="00915B33">
        <w:rPr>
          <w:rFonts w:ascii="Times New Roman" w:hAnsi="Times New Roman" w:cs="Times New Roman"/>
          <w:color w:val="000000" w:themeColor="text1"/>
          <w:lang w:eastAsia="fr-FR"/>
        </w:rPr>
        <w:t>. Les émissions de CH</w:t>
      </w:r>
      <w:r w:rsidRPr="00915B33">
        <w:rPr>
          <w:rFonts w:ascii="Times New Roman" w:hAnsi="Times New Roman" w:cs="Times New Roman"/>
          <w:color w:val="000000" w:themeColor="text1"/>
          <w:vertAlign w:val="subscript"/>
          <w:lang w:eastAsia="fr-FR"/>
        </w:rPr>
        <w:t>4</w:t>
      </w:r>
      <w:r w:rsidRPr="00915B33">
        <w:rPr>
          <w:rFonts w:ascii="Times New Roman" w:hAnsi="Times New Roman" w:cs="Times New Roman"/>
          <w:color w:val="000000" w:themeColor="text1"/>
          <w:lang w:eastAsia="fr-FR"/>
        </w:rPr>
        <w:t xml:space="preserve"> accompagnant la fabrication de l’acier ordinaire s’élèvent à 0,0003 Gg Eq CO</w:t>
      </w:r>
      <w:r w:rsidRPr="00915B33">
        <w:rPr>
          <w:rFonts w:ascii="Times New Roman" w:hAnsi="Times New Roman" w:cs="Times New Roman"/>
          <w:color w:val="000000" w:themeColor="text1"/>
          <w:vertAlign w:val="subscript"/>
          <w:lang w:eastAsia="fr-FR"/>
        </w:rPr>
        <w:t>2</w:t>
      </w:r>
      <w:r w:rsidRPr="00915B33">
        <w:rPr>
          <w:rFonts w:ascii="Times New Roman" w:hAnsi="Times New Roman" w:cs="Times New Roman"/>
          <w:color w:val="000000" w:themeColor="text1"/>
          <w:lang w:eastAsia="fr-FR"/>
        </w:rPr>
        <w:t>.</w:t>
      </w:r>
    </w:p>
    <w:p w14:paraId="1A683680" w14:textId="77777777" w:rsidR="00DE0080" w:rsidRPr="00915B33" w:rsidRDefault="00DE0080" w:rsidP="00B56BAE">
      <w:pPr>
        <w:rPr>
          <w:rFonts w:ascii="Times New Roman" w:hAnsi="Times New Roman" w:cs="Times New Roman"/>
          <w:b/>
          <w:color w:val="000000" w:themeColor="text1"/>
        </w:rPr>
      </w:pPr>
    </w:p>
    <w:p w14:paraId="2AFF9209" w14:textId="77777777" w:rsidR="00DE0080" w:rsidRPr="00915B33" w:rsidRDefault="00DC64D7" w:rsidP="00B56BAE">
      <w:pPr>
        <w:rPr>
          <w:rFonts w:ascii="Times New Roman" w:hAnsi="Times New Roman" w:cs="Times New Roman"/>
          <w:b/>
          <w:color w:val="000000" w:themeColor="text1"/>
        </w:rPr>
      </w:pPr>
      <w:r w:rsidRPr="00915B33">
        <w:rPr>
          <w:noProof/>
          <w:color w:val="000000" w:themeColor="text1"/>
          <w:lang w:val="fr-CA" w:eastAsia="fr-CA"/>
        </w:rPr>
        <w:drawing>
          <wp:inline distT="0" distB="0" distL="0" distR="0" wp14:anchorId="3FC1D11E" wp14:editId="51D00259">
            <wp:extent cx="5760720" cy="3489325"/>
            <wp:effectExtent l="0" t="0" r="0" b="0"/>
            <wp:docPr id="6" name="Graphique 6">
              <a:extLst xmlns:a="http://schemas.openxmlformats.org/drawingml/2006/main">
                <a:ext uri="{FF2B5EF4-FFF2-40B4-BE49-F238E27FC236}">
                  <a16:creationId xmlns:a16="http://schemas.microsoft.com/office/drawing/2014/main" id="{00000000-0008-0000-07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922C54" w14:textId="29FCA5B7" w:rsidR="00F27423" w:rsidRPr="00915B33" w:rsidRDefault="00F27423">
      <w:pPr>
        <w:jc w:val="center"/>
        <w:rPr>
          <w:rFonts w:ascii="Times New Roman" w:hAnsi="Times New Roman" w:cs="Times New Roman"/>
          <w:color w:val="000000" w:themeColor="text1"/>
          <w:lang w:eastAsia="fr-FR"/>
        </w:rPr>
      </w:pPr>
      <w:r w:rsidRPr="00915B33">
        <w:rPr>
          <w:rFonts w:ascii="Times New Roman" w:hAnsi="Times New Roman" w:cs="Times New Roman"/>
          <w:b/>
          <w:color w:val="000000" w:themeColor="text1"/>
        </w:rPr>
        <w:t xml:space="preserve">Graphique </w:t>
      </w:r>
      <w:r w:rsidR="003F1589" w:rsidRPr="00915B33">
        <w:rPr>
          <w:rFonts w:ascii="Times New Roman" w:hAnsi="Times New Roman" w:cs="Times New Roman"/>
          <w:b/>
          <w:color w:val="000000" w:themeColor="text1"/>
        </w:rPr>
        <w:t>7</w:t>
      </w:r>
      <w:r w:rsidRPr="00915B33">
        <w:rPr>
          <w:rFonts w:ascii="Times New Roman" w:hAnsi="Times New Roman" w:cs="Times New Roman"/>
          <w:color w:val="000000" w:themeColor="text1"/>
          <w:lang w:eastAsia="fr-FR"/>
        </w:rPr>
        <w:t xml:space="preserve"> : </w:t>
      </w:r>
      <w:r w:rsidRPr="00915B33">
        <w:rPr>
          <w:rFonts w:ascii="Times New Roman" w:hAnsi="Times New Roman" w:cs="Times New Roman"/>
          <w:bCs/>
          <w:color w:val="000000" w:themeColor="text1"/>
        </w:rPr>
        <w:t>Évolution des émis</w:t>
      </w:r>
      <w:r w:rsidR="00B56BAE" w:rsidRPr="00915B33">
        <w:rPr>
          <w:rFonts w:ascii="Times New Roman" w:hAnsi="Times New Roman" w:cs="Times New Roman"/>
          <w:bCs/>
          <w:color w:val="000000" w:themeColor="text1"/>
        </w:rPr>
        <w:t>s</w:t>
      </w:r>
      <w:r w:rsidRPr="00915B33">
        <w:rPr>
          <w:rFonts w:ascii="Times New Roman" w:hAnsi="Times New Roman" w:cs="Times New Roman"/>
          <w:bCs/>
          <w:color w:val="000000" w:themeColor="text1"/>
        </w:rPr>
        <w:t>ions de CO2 de la production de ferroalliage de 1990 à 20</w:t>
      </w:r>
      <w:r w:rsidR="00DE0080" w:rsidRPr="00915B33">
        <w:rPr>
          <w:rFonts w:ascii="Times New Roman" w:hAnsi="Times New Roman" w:cs="Times New Roman"/>
          <w:bCs/>
          <w:color w:val="000000" w:themeColor="text1"/>
        </w:rPr>
        <w:t>2</w:t>
      </w:r>
      <w:r w:rsidR="00825771" w:rsidRPr="00915B33">
        <w:rPr>
          <w:rFonts w:ascii="Times New Roman" w:hAnsi="Times New Roman" w:cs="Times New Roman"/>
          <w:bCs/>
          <w:color w:val="000000" w:themeColor="text1"/>
        </w:rPr>
        <w:t>2</w:t>
      </w:r>
    </w:p>
    <w:p w14:paraId="7165087F" w14:textId="64F79D8C" w:rsidR="00325D70" w:rsidRPr="00915B33" w:rsidRDefault="00325D70" w:rsidP="00B02B7B">
      <w:pPr>
        <w:spacing w:line="360" w:lineRule="auto"/>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 xml:space="preserve">Les graphiques </w:t>
      </w:r>
      <w:r w:rsidR="004D2746" w:rsidRPr="00915B33">
        <w:rPr>
          <w:rFonts w:ascii="Times New Roman" w:hAnsi="Times New Roman" w:cs="Times New Roman"/>
          <w:color w:val="000000" w:themeColor="text1"/>
          <w:lang w:eastAsia="fr-FR"/>
        </w:rPr>
        <w:t>7</w:t>
      </w:r>
      <w:r w:rsidRPr="00915B33">
        <w:rPr>
          <w:rFonts w:ascii="Times New Roman" w:hAnsi="Times New Roman" w:cs="Times New Roman"/>
          <w:color w:val="000000" w:themeColor="text1"/>
          <w:lang w:eastAsia="fr-FR"/>
        </w:rPr>
        <w:t xml:space="preserve"> et </w:t>
      </w:r>
      <w:r w:rsidR="004D2746" w:rsidRPr="00915B33">
        <w:rPr>
          <w:rFonts w:ascii="Times New Roman" w:hAnsi="Times New Roman" w:cs="Times New Roman"/>
          <w:color w:val="000000" w:themeColor="text1"/>
          <w:lang w:eastAsia="fr-FR"/>
        </w:rPr>
        <w:t>8</w:t>
      </w:r>
      <w:r w:rsidRPr="00915B33">
        <w:rPr>
          <w:rFonts w:ascii="Times New Roman" w:hAnsi="Times New Roman" w:cs="Times New Roman"/>
          <w:color w:val="000000" w:themeColor="text1"/>
          <w:lang w:eastAsia="fr-FR"/>
        </w:rPr>
        <w:t xml:space="preserve"> illustrent l’effet considérable de l’arrêt, en 2000, de la fabrication du fer à béton. Celui-ci s’est traduit par une baisse des émissions de CO</w:t>
      </w:r>
      <w:r w:rsidRPr="00915B33">
        <w:rPr>
          <w:rFonts w:ascii="Times New Roman" w:hAnsi="Times New Roman" w:cs="Times New Roman"/>
          <w:color w:val="000000" w:themeColor="text1"/>
          <w:vertAlign w:val="subscript"/>
          <w:lang w:eastAsia="fr-FR"/>
        </w:rPr>
        <w:t>2</w:t>
      </w:r>
      <w:r w:rsidRPr="00915B33">
        <w:rPr>
          <w:rFonts w:ascii="Times New Roman" w:hAnsi="Times New Roman" w:cs="Times New Roman"/>
          <w:color w:val="000000" w:themeColor="text1"/>
          <w:lang w:eastAsia="fr-FR"/>
        </w:rPr>
        <w:t xml:space="preserve"> en 2010 de -82% par rapport à 2000. Une légère augmentation (+13,92%), est notée en 2012, suivie d’une baisse sensible (</w:t>
      </w:r>
      <w:r w:rsidRPr="00915B33">
        <w:rPr>
          <w:rFonts w:ascii="Times New Roman" w:eastAsia="Times New Roman" w:hAnsi="Times New Roman" w:cs="Times New Roman"/>
          <w:color w:val="000000" w:themeColor="text1"/>
          <w:lang w:eastAsia="fr-FR"/>
        </w:rPr>
        <w:t xml:space="preserve">-30,84%) </w:t>
      </w:r>
      <w:r w:rsidRPr="00915B33">
        <w:rPr>
          <w:rFonts w:ascii="Times New Roman" w:hAnsi="Times New Roman" w:cs="Times New Roman"/>
          <w:color w:val="000000" w:themeColor="text1"/>
          <w:lang w:eastAsia="fr-FR"/>
        </w:rPr>
        <w:t>enregistrée en 2015. Cette baisse significative est suivie par une reprise correspondant à un taux de 14,4% en 2018.  De 2018 à 2022, les émissions liées au ferroalliage sont marquées par une tendance à la hausse marquée par un taux de variation de 32%. Cette situation s’explique par la variation des commandes du marché intérieur local qui est le principal client de la SAFA.</w:t>
      </w:r>
    </w:p>
    <w:p w14:paraId="4C03E6AC" w14:textId="77777777" w:rsidR="00325D70" w:rsidRPr="00915B33" w:rsidRDefault="00325D70" w:rsidP="00B02B7B">
      <w:pPr>
        <w:spacing w:line="360" w:lineRule="auto"/>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Cette évolution des émissions, liée aux productions de ferroalliage, est conforme aux fluctuations des commandes des principaux clients de la SAFA.</w:t>
      </w:r>
    </w:p>
    <w:p w14:paraId="67BB49D0" w14:textId="77777777" w:rsidR="00F27423" w:rsidRPr="00915B33" w:rsidRDefault="00F27423">
      <w:pPr>
        <w:jc w:val="both"/>
        <w:rPr>
          <w:rFonts w:ascii="Times New Roman" w:hAnsi="Times New Roman" w:cs="Times New Roman"/>
          <w:color w:val="000000" w:themeColor="text1"/>
          <w:lang w:eastAsia="fr-FR"/>
        </w:rPr>
      </w:pPr>
    </w:p>
    <w:p w14:paraId="170B8C5A" w14:textId="276906F6" w:rsidR="00F27423" w:rsidRPr="00915B33" w:rsidRDefault="00825771">
      <w:pPr>
        <w:jc w:val="center"/>
        <w:rPr>
          <w:rFonts w:ascii="Times New Roman" w:hAnsi="Times New Roman" w:cs="Times New Roman"/>
          <w:b/>
          <w:color w:val="000000" w:themeColor="text1"/>
        </w:rPr>
      </w:pPr>
      <w:r w:rsidRPr="00915B33">
        <w:rPr>
          <w:noProof/>
          <w:color w:val="000000" w:themeColor="text1"/>
          <w:u w:val="single"/>
        </w:rPr>
        <w:drawing>
          <wp:inline distT="0" distB="0" distL="0" distR="0" wp14:anchorId="033CE091" wp14:editId="2F561CF5">
            <wp:extent cx="5760720" cy="3308985"/>
            <wp:effectExtent l="0" t="0" r="0" b="0"/>
            <wp:docPr id="5" name="Graphique 5">
              <a:extLst xmlns:a="http://schemas.openxmlformats.org/drawingml/2006/main">
                <a:ext uri="{FF2B5EF4-FFF2-40B4-BE49-F238E27FC236}">
                  <a16:creationId xmlns:a16="http://schemas.microsoft.com/office/drawing/2014/main" id="{7311E78A-51D4-49AF-8B66-4624499B77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1141FBB" w14:textId="68D36CB7" w:rsidR="00F27423" w:rsidRPr="00915B33" w:rsidRDefault="00F27423">
      <w:pPr>
        <w:jc w:val="center"/>
        <w:rPr>
          <w:rFonts w:ascii="Times New Roman" w:hAnsi="Times New Roman" w:cs="Times New Roman"/>
          <w:color w:val="000000" w:themeColor="text1"/>
          <w:lang w:eastAsia="fr-FR"/>
        </w:rPr>
      </w:pPr>
      <w:r w:rsidRPr="00915B33">
        <w:rPr>
          <w:rFonts w:ascii="Times New Roman" w:hAnsi="Times New Roman" w:cs="Times New Roman"/>
          <w:b/>
          <w:color w:val="000000" w:themeColor="text1"/>
        </w:rPr>
        <w:t xml:space="preserve">Graphique </w:t>
      </w:r>
      <w:r w:rsidR="003F1589" w:rsidRPr="00915B33">
        <w:rPr>
          <w:rFonts w:ascii="Times New Roman" w:hAnsi="Times New Roman" w:cs="Times New Roman"/>
          <w:b/>
          <w:color w:val="000000" w:themeColor="text1"/>
        </w:rPr>
        <w:t>8</w:t>
      </w:r>
      <w:r w:rsidRPr="00915B33">
        <w:rPr>
          <w:rFonts w:ascii="Times New Roman" w:hAnsi="Times New Roman" w:cs="Times New Roman"/>
          <w:color w:val="000000" w:themeColor="text1"/>
          <w:lang w:eastAsia="fr-FR"/>
        </w:rPr>
        <w:t xml:space="preserve"> : </w:t>
      </w:r>
      <w:r w:rsidRPr="00915B33">
        <w:rPr>
          <w:rFonts w:ascii="Times New Roman" w:hAnsi="Times New Roman" w:cs="Times New Roman"/>
          <w:bCs/>
          <w:color w:val="000000" w:themeColor="text1"/>
        </w:rPr>
        <w:t>Taux de variation des émissions de CO</w:t>
      </w:r>
      <w:r w:rsidRPr="00915B33">
        <w:rPr>
          <w:rFonts w:ascii="Times New Roman" w:hAnsi="Times New Roman" w:cs="Times New Roman"/>
          <w:bCs/>
          <w:color w:val="000000" w:themeColor="text1"/>
          <w:kern w:val="22"/>
          <w:vertAlign w:val="subscript"/>
        </w:rPr>
        <w:t>2</w:t>
      </w:r>
      <w:r w:rsidRPr="00915B33">
        <w:rPr>
          <w:rFonts w:ascii="Times New Roman" w:hAnsi="Times New Roman" w:cs="Times New Roman"/>
          <w:bCs/>
          <w:color w:val="000000" w:themeColor="text1"/>
        </w:rPr>
        <w:t xml:space="preserve"> </w:t>
      </w:r>
      <w:r w:rsidRPr="00915B33">
        <w:rPr>
          <w:rFonts w:ascii="Times New Roman" w:hAnsi="Times New Roman" w:cs="Times New Roman"/>
          <w:bCs/>
          <w:color w:val="000000" w:themeColor="text1"/>
          <w:lang w:eastAsia="fr-FR"/>
        </w:rPr>
        <w:t xml:space="preserve">entre les </w:t>
      </w:r>
      <w:r w:rsidR="00DF65DE" w:rsidRPr="00915B33">
        <w:rPr>
          <w:rFonts w:ascii="Times New Roman" w:hAnsi="Times New Roman" w:cs="Times New Roman"/>
          <w:bCs/>
          <w:color w:val="000000" w:themeColor="text1"/>
          <w:lang w:eastAsia="fr-FR"/>
        </w:rPr>
        <w:t>inventaires</w:t>
      </w:r>
    </w:p>
    <w:p w14:paraId="6C1203E6" w14:textId="77777777" w:rsidR="00F27423" w:rsidRPr="00EE7F4C" w:rsidRDefault="00F27423" w:rsidP="00BC2557">
      <w:pPr>
        <w:pStyle w:val="Sous-titre"/>
        <w:numPr>
          <w:ilvl w:val="0"/>
          <w:numId w:val="28"/>
        </w:numPr>
        <w:outlineLvl w:val="2"/>
        <w:rPr>
          <w:lang w:eastAsia="fr-FR"/>
        </w:rPr>
      </w:pPr>
      <w:bookmarkStart w:id="65" w:name="_Toc157935487"/>
      <w:r w:rsidRPr="00EE7F4C">
        <w:rPr>
          <w:lang w:eastAsia="fr-FR"/>
        </w:rPr>
        <w:t>Incertitudes</w:t>
      </w:r>
      <w:bookmarkEnd w:id="65"/>
    </w:p>
    <w:p w14:paraId="0A2C8CE3" w14:textId="77777777" w:rsidR="00F27423" w:rsidRPr="00915B33" w:rsidRDefault="00F27423" w:rsidP="00B02B7B">
      <w:pPr>
        <w:spacing w:line="360" w:lineRule="auto"/>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La méthode de niveau 1 de calcul des émissions de CO</w:t>
      </w:r>
      <w:r w:rsidRPr="00915B33">
        <w:rPr>
          <w:rFonts w:ascii="Times New Roman" w:hAnsi="Times New Roman" w:cs="Times New Roman"/>
          <w:color w:val="000000" w:themeColor="text1"/>
          <w:vertAlign w:val="subscript"/>
          <w:lang w:eastAsia="fr-FR"/>
        </w:rPr>
        <w:t>2</w:t>
      </w:r>
      <w:r w:rsidRPr="00915B33">
        <w:rPr>
          <w:rFonts w:ascii="Times New Roman" w:hAnsi="Times New Roman" w:cs="Times New Roman"/>
          <w:color w:val="000000" w:themeColor="text1"/>
          <w:lang w:eastAsia="fr-FR"/>
        </w:rPr>
        <w:t xml:space="preserve"> est considérée comme source potentielle d’erreurs </w:t>
      </w:r>
      <w:r w:rsidR="001D48AD" w:rsidRPr="00915B33">
        <w:rPr>
          <w:rFonts w:ascii="Times New Roman" w:hAnsi="Times New Roman" w:cs="Times New Roman"/>
          <w:color w:val="000000" w:themeColor="text1"/>
          <w:lang w:eastAsia="fr-FR"/>
        </w:rPr>
        <w:t>parce qu’</w:t>
      </w:r>
      <w:r w:rsidRPr="00915B33">
        <w:rPr>
          <w:rFonts w:ascii="Times New Roman" w:hAnsi="Times New Roman" w:cs="Times New Roman"/>
          <w:color w:val="000000" w:themeColor="text1"/>
          <w:lang w:eastAsia="fr-FR"/>
        </w:rPr>
        <w:t>elle repose sur des suppositions plutôt que sur des données ré</w:t>
      </w:r>
      <w:r w:rsidR="00E17D0E" w:rsidRPr="00915B33">
        <w:rPr>
          <w:rFonts w:ascii="Times New Roman" w:hAnsi="Times New Roman" w:cs="Times New Roman"/>
          <w:color w:val="000000" w:themeColor="text1"/>
          <w:lang w:eastAsia="fr-FR"/>
        </w:rPr>
        <w:t>e</w:t>
      </w:r>
      <w:r w:rsidRPr="00915B33">
        <w:rPr>
          <w:rFonts w:ascii="Times New Roman" w:hAnsi="Times New Roman" w:cs="Times New Roman"/>
          <w:color w:val="000000" w:themeColor="text1"/>
          <w:lang w:eastAsia="fr-FR"/>
        </w:rPr>
        <w:t>lles.</w:t>
      </w:r>
    </w:p>
    <w:p w14:paraId="6A259D87" w14:textId="77777777" w:rsidR="00F27423" w:rsidRPr="00915B33" w:rsidRDefault="00F27423" w:rsidP="00B02B7B">
      <w:pPr>
        <w:spacing w:line="360" w:lineRule="auto"/>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Les incertitu</w:t>
      </w:r>
      <w:r w:rsidR="00E17D0E" w:rsidRPr="00915B33">
        <w:rPr>
          <w:rFonts w:ascii="Times New Roman" w:hAnsi="Times New Roman" w:cs="Times New Roman"/>
          <w:color w:val="000000" w:themeColor="text1"/>
          <w:lang w:eastAsia="fr-FR"/>
        </w:rPr>
        <w:t>d</w:t>
      </w:r>
      <w:r w:rsidRPr="00915B33">
        <w:rPr>
          <w:rFonts w:ascii="Times New Roman" w:hAnsi="Times New Roman" w:cs="Times New Roman"/>
          <w:color w:val="000000" w:themeColor="text1"/>
          <w:lang w:eastAsia="fr-FR"/>
        </w:rPr>
        <w:t>es liées à l’activité et celles relatives aux FE se situent respectivement dans les intervalles [-10% ; +10%] et [-5% ; +25%].</w:t>
      </w:r>
    </w:p>
    <w:p w14:paraId="401945AB" w14:textId="77777777" w:rsidR="007C6254" w:rsidRPr="00915B33" w:rsidRDefault="007C6254" w:rsidP="00B02B7B">
      <w:pPr>
        <w:spacing w:line="360" w:lineRule="auto"/>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Les données de production du ferroalliage fournies par la SAFA sont fournies par le laboratoire de l’entreprise.</w:t>
      </w:r>
      <w:r w:rsidR="009758DA" w:rsidRPr="00915B33">
        <w:rPr>
          <w:rFonts w:ascii="Times New Roman" w:hAnsi="Times New Roman" w:cs="Times New Roman"/>
          <w:color w:val="000000" w:themeColor="text1"/>
          <w:lang w:eastAsia="fr-FR"/>
        </w:rPr>
        <w:t xml:space="preserve"> Lorsqu’elle a été contactée pour le besoin du présent BUR2, l’entreprise a offert sa collaboration.</w:t>
      </w:r>
    </w:p>
    <w:p w14:paraId="2492941A" w14:textId="77777777" w:rsidR="00F27423" w:rsidRPr="00EE7F4C" w:rsidRDefault="00F27423" w:rsidP="00BC2557">
      <w:pPr>
        <w:pStyle w:val="Sous-titre"/>
        <w:numPr>
          <w:ilvl w:val="0"/>
          <w:numId w:val="28"/>
        </w:numPr>
        <w:outlineLvl w:val="2"/>
        <w:rPr>
          <w:lang w:eastAsia="fr-FR"/>
        </w:rPr>
      </w:pPr>
      <w:bookmarkStart w:id="66" w:name="_Toc157935488"/>
      <w:r w:rsidRPr="00EE7F4C">
        <w:rPr>
          <w:lang w:eastAsia="fr-FR"/>
        </w:rPr>
        <w:t>Assurance et contrôle qualité</w:t>
      </w:r>
      <w:bookmarkEnd w:id="66"/>
    </w:p>
    <w:p w14:paraId="26488143" w14:textId="295C775A" w:rsidR="00F27423" w:rsidRPr="00915B33" w:rsidRDefault="00F27423" w:rsidP="00B02B7B">
      <w:pPr>
        <w:spacing w:line="360" w:lineRule="auto"/>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Des efforts ont été entrepris en vue d’améliorer l’assurance et le contrôle qualité des calculs des émiss</w:t>
      </w:r>
      <w:r w:rsidR="00E17D0E" w:rsidRPr="00915B33">
        <w:rPr>
          <w:rFonts w:ascii="Times New Roman" w:hAnsi="Times New Roman" w:cs="Times New Roman"/>
          <w:color w:val="000000" w:themeColor="text1"/>
          <w:lang w:eastAsia="fr-FR"/>
        </w:rPr>
        <w:t>i</w:t>
      </w:r>
      <w:r w:rsidRPr="00915B33">
        <w:rPr>
          <w:rFonts w:ascii="Times New Roman" w:hAnsi="Times New Roman" w:cs="Times New Roman"/>
          <w:color w:val="000000" w:themeColor="text1"/>
          <w:lang w:eastAsia="fr-FR"/>
        </w:rPr>
        <w:t>ons de GES de la production de ferroalliage. Les informations ont été recueillies directement auprès du laboratoire de ferroalliage de la SAFA, qui a fou</w:t>
      </w:r>
      <w:r w:rsidR="00E17D0E" w:rsidRPr="00915B33">
        <w:rPr>
          <w:rFonts w:ascii="Times New Roman" w:hAnsi="Times New Roman" w:cs="Times New Roman"/>
          <w:color w:val="000000" w:themeColor="text1"/>
          <w:lang w:eastAsia="fr-FR"/>
        </w:rPr>
        <w:t>r</w:t>
      </w:r>
      <w:r w:rsidRPr="00915B33">
        <w:rPr>
          <w:rFonts w:ascii="Times New Roman" w:hAnsi="Times New Roman" w:cs="Times New Roman"/>
          <w:color w:val="000000" w:themeColor="text1"/>
          <w:lang w:eastAsia="fr-FR"/>
        </w:rPr>
        <w:t>ni des données de production plus détaillées. Il s’agit là d’un net progrès dans la compilation, même si le laboratoire n’a pas été en mesure de fournir des données antérieures à 2007. Aussi, les experts du ministère de tutelle ont été associés à la validation des données et des résultats. Il subsi</w:t>
      </w:r>
      <w:r w:rsidR="00E17D0E" w:rsidRPr="00915B33">
        <w:rPr>
          <w:rFonts w:ascii="Times New Roman" w:hAnsi="Times New Roman" w:cs="Times New Roman"/>
          <w:color w:val="000000" w:themeColor="text1"/>
          <w:lang w:eastAsia="fr-FR"/>
        </w:rPr>
        <w:t>s</w:t>
      </w:r>
      <w:r w:rsidRPr="00915B33">
        <w:rPr>
          <w:rFonts w:ascii="Times New Roman" w:hAnsi="Times New Roman" w:cs="Times New Roman"/>
          <w:color w:val="000000" w:themeColor="text1"/>
          <w:lang w:eastAsia="fr-FR"/>
        </w:rPr>
        <w:t>te néanmoins, sur ce plan, des écueils inhérents à l’usage de la méthode de niveau 1.</w:t>
      </w:r>
    </w:p>
    <w:p w14:paraId="5B5B7DAD" w14:textId="77777777" w:rsidR="006F3249" w:rsidRPr="00915B33" w:rsidRDefault="006F3249" w:rsidP="00B02B7B">
      <w:pPr>
        <w:spacing w:line="360" w:lineRule="auto"/>
        <w:jc w:val="both"/>
        <w:rPr>
          <w:rFonts w:ascii="Times New Roman" w:hAnsi="Times New Roman" w:cs="Times New Roman"/>
          <w:color w:val="000000" w:themeColor="text1"/>
        </w:rPr>
      </w:pPr>
    </w:p>
    <w:p w14:paraId="4693BCAF" w14:textId="46AB14A3" w:rsidR="00F27423" w:rsidRPr="00947FBA" w:rsidRDefault="00F27423" w:rsidP="00BC2557">
      <w:pPr>
        <w:pStyle w:val="Sous-titre"/>
        <w:numPr>
          <w:ilvl w:val="0"/>
          <w:numId w:val="27"/>
        </w:numPr>
        <w:outlineLvl w:val="1"/>
      </w:pPr>
      <w:bookmarkStart w:id="67" w:name="_Toc489388313"/>
      <w:bookmarkStart w:id="68" w:name="_Toc157935489"/>
      <w:r w:rsidRPr="00947FBA">
        <w:t>Émissions des Produits non énergétiques provenant de combustibles et de l’utilisation de solvants : émissions dues à l’usage de lubrifiants</w:t>
      </w:r>
      <w:bookmarkEnd w:id="67"/>
      <w:bookmarkEnd w:id="68"/>
    </w:p>
    <w:p w14:paraId="2CBA5B25" w14:textId="16C6E1BC" w:rsidR="00F27423" w:rsidRPr="00915B33" w:rsidRDefault="00023122">
      <w:pPr>
        <w:pStyle w:val="Paragraphedeliste1"/>
        <w:spacing w:before="120"/>
        <w:ind w:left="714"/>
        <w:jc w:val="center"/>
        <w:rPr>
          <w:rFonts w:ascii="Times New Roman" w:hAnsi="Times New Roman" w:cs="Times New Roman"/>
          <w:color w:val="000000" w:themeColor="text1"/>
        </w:rPr>
      </w:pPr>
      <w:r w:rsidRPr="00915B33">
        <w:rPr>
          <w:rFonts w:ascii="Times New Roman" w:hAnsi="Times New Roman" w:cs="Times New Roman"/>
          <w:b/>
          <w:bCs/>
          <w:color w:val="000000" w:themeColor="text1"/>
        </w:rPr>
        <w:t>Tableau 1</w:t>
      </w:r>
      <w:r w:rsidR="00ED20B6" w:rsidRPr="00915B33">
        <w:rPr>
          <w:rFonts w:ascii="Times New Roman" w:hAnsi="Times New Roman" w:cs="Times New Roman"/>
          <w:b/>
          <w:bCs/>
          <w:color w:val="000000" w:themeColor="text1"/>
        </w:rPr>
        <w:t>8</w:t>
      </w:r>
      <w:r w:rsidR="00F27423" w:rsidRPr="00915B33">
        <w:rPr>
          <w:rFonts w:ascii="Times New Roman" w:hAnsi="Times New Roman" w:cs="Times New Roman"/>
          <w:b/>
          <w:bCs/>
          <w:color w:val="000000" w:themeColor="text1"/>
        </w:rPr>
        <w:t xml:space="preserve"> : </w:t>
      </w:r>
      <w:r w:rsidR="00F27423" w:rsidRPr="00915B33">
        <w:rPr>
          <w:rFonts w:ascii="Times New Roman" w:hAnsi="Times New Roman" w:cs="Times New Roman"/>
          <w:bCs/>
          <w:color w:val="000000" w:themeColor="text1"/>
        </w:rPr>
        <w:t>Facteurs d’oxydation pendant l’usage des lubrifiants</w:t>
      </w:r>
    </w:p>
    <w:tbl>
      <w:tblPr>
        <w:tblStyle w:val="TableauListe4-Accentuation11"/>
        <w:tblW w:w="0" w:type="auto"/>
        <w:tblLayout w:type="fixed"/>
        <w:tblLook w:val="0000" w:firstRow="0" w:lastRow="0" w:firstColumn="0" w:lastColumn="0" w:noHBand="0" w:noVBand="0"/>
      </w:tblPr>
      <w:tblGrid>
        <w:gridCol w:w="3070"/>
        <w:gridCol w:w="3069"/>
        <w:gridCol w:w="3073"/>
      </w:tblGrid>
      <w:tr w:rsidR="00915B33" w:rsidRPr="00915B33" w14:paraId="394FE634" w14:textId="77777777" w:rsidTr="006962A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0" w:type="dxa"/>
          </w:tcPr>
          <w:p w14:paraId="04475E8E" w14:textId="771CC630" w:rsidR="00F27423" w:rsidRPr="00915B33" w:rsidRDefault="00F27423" w:rsidP="004E3712">
            <w:pPr>
              <w:spacing w:line="240" w:lineRule="auto"/>
              <w:jc w:val="center"/>
              <w:rPr>
                <w:rFonts w:ascii="Times New Roman" w:hAnsi="Times New Roman" w:cs="Times New Roman"/>
                <w:b/>
                <w:color w:val="000000" w:themeColor="text1"/>
              </w:rPr>
            </w:pPr>
            <w:r w:rsidRPr="00915B33">
              <w:rPr>
                <w:rFonts w:ascii="Times New Roman" w:hAnsi="Times New Roman" w:cs="Times New Roman"/>
                <w:b/>
                <w:color w:val="000000" w:themeColor="text1"/>
              </w:rPr>
              <w:t>Lubrifiant</w:t>
            </w:r>
            <w:r w:rsidR="004E63DA" w:rsidRPr="00915B33">
              <w:rPr>
                <w:rFonts w:ascii="Times New Roman" w:hAnsi="Times New Roman" w:cs="Times New Roman"/>
                <w:b/>
                <w:color w:val="000000" w:themeColor="text1"/>
              </w:rPr>
              <w:t>s</w:t>
            </w:r>
          </w:p>
        </w:tc>
        <w:tc>
          <w:tcPr>
            <w:tcW w:w="3069" w:type="dxa"/>
          </w:tcPr>
          <w:p w14:paraId="41032555" w14:textId="25EC044B" w:rsidR="00F27423" w:rsidRPr="00915B33" w:rsidRDefault="00F27423" w:rsidP="004E371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915B33">
              <w:rPr>
                <w:rFonts w:ascii="Times New Roman" w:hAnsi="Times New Roman" w:cs="Times New Roman"/>
                <w:b/>
                <w:color w:val="000000" w:themeColor="text1"/>
              </w:rPr>
              <w:t>Facteur</w:t>
            </w:r>
            <w:r w:rsidR="004E63DA" w:rsidRPr="00915B33">
              <w:rPr>
                <w:rFonts w:ascii="Times New Roman" w:hAnsi="Times New Roman" w:cs="Times New Roman"/>
                <w:b/>
                <w:color w:val="000000" w:themeColor="text1"/>
              </w:rPr>
              <w:t>s</w:t>
            </w:r>
            <w:r w:rsidRPr="00915B33">
              <w:rPr>
                <w:rFonts w:ascii="Times New Roman" w:hAnsi="Times New Roman" w:cs="Times New Roman"/>
                <w:b/>
                <w:color w:val="000000" w:themeColor="text1"/>
              </w:rPr>
              <w:t xml:space="preserve"> de contenu en carbone (tonne C/TJ)</w:t>
            </w:r>
          </w:p>
        </w:tc>
        <w:tc>
          <w:tcPr>
            <w:cnfStyle w:val="000010000000" w:firstRow="0" w:lastRow="0" w:firstColumn="0" w:lastColumn="0" w:oddVBand="1" w:evenVBand="0" w:oddHBand="0" w:evenHBand="0" w:firstRowFirstColumn="0" w:firstRowLastColumn="0" w:lastRowFirstColumn="0" w:lastRowLastColumn="0"/>
            <w:tcW w:w="3073" w:type="dxa"/>
          </w:tcPr>
          <w:p w14:paraId="30BC0D1D" w14:textId="34731646" w:rsidR="00F27423" w:rsidRPr="00915B33" w:rsidRDefault="00F27423" w:rsidP="004E3712">
            <w:pPr>
              <w:spacing w:line="240" w:lineRule="auto"/>
              <w:jc w:val="center"/>
              <w:rPr>
                <w:rFonts w:ascii="Times New Roman" w:hAnsi="Times New Roman" w:cs="Times New Roman"/>
                <w:b/>
                <w:color w:val="000000" w:themeColor="text1"/>
              </w:rPr>
            </w:pPr>
            <w:r w:rsidRPr="00915B33">
              <w:rPr>
                <w:rFonts w:ascii="Times New Roman" w:hAnsi="Times New Roman" w:cs="Times New Roman"/>
                <w:b/>
                <w:color w:val="000000" w:themeColor="text1"/>
              </w:rPr>
              <w:t>Facteur</w:t>
            </w:r>
            <w:r w:rsidR="00A10AE6" w:rsidRPr="00915B33">
              <w:rPr>
                <w:rFonts w:ascii="Times New Roman" w:hAnsi="Times New Roman" w:cs="Times New Roman"/>
                <w:b/>
                <w:color w:val="000000" w:themeColor="text1"/>
              </w:rPr>
              <w:t>s</w:t>
            </w:r>
            <w:r w:rsidRPr="00915B33">
              <w:rPr>
                <w:rFonts w:ascii="Times New Roman" w:hAnsi="Times New Roman" w:cs="Times New Roman"/>
                <w:b/>
                <w:color w:val="000000" w:themeColor="text1"/>
              </w:rPr>
              <w:t xml:space="preserve"> d’oxydation pendant l’usage</w:t>
            </w:r>
          </w:p>
        </w:tc>
      </w:tr>
      <w:tr w:rsidR="00915B33" w:rsidRPr="00915B33" w14:paraId="64ED0B9C" w14:textId="77777777" w:rsidTr="006962A0">
        <w:tc>
          <w:tcPr>
            <w:cnfStyle w:val="000010000000" w:firstRow="0" w:lastRow="0" w:firstColumn="0" w:lastColumn="0" w:oddVBand="1" w:evenVBand="0" w:oddHBand="0" w:evenHBand="0" w:firstRowFirstColumn="0" w:firstRowLastColumn="0" w:lastRowFirstColumn="0" w:lastRowLastColumn="0"/>
            <w:tcW w:w="3070" w:type="dxa"/>
          </w:tcPr>
          <w:p w14:paraId="493F3C78" w14:textId="77777777" w:rsidR="00F27423" w:rsidRPr="00915B33" w:rsidRDefault="00F27423">
            <w:pPr>
              <w:spacing w:line="240" w:lineRule="auto"/>
              <w:jc w:val="both"/>
              <w:rPr>
                <w:rFonts w:ascii="Times New Roman" w:hAnsi="Times New Roman" w:cs="Times New Roman"/>
                <w:b/>
                <w:color w:val="000000" w:themeColor="text1"/>
              </w:rPr>
            </w:pPr>
            <w:r w:rsidRPr="00915B33">
              <w:rPr>
                <w:rFonts w:ascii="Times New Roman" w:hAnsi="Times New Roman" w:cs="Times New Roman"/>
                <w:b/>
                <w:color w:val="000000" w:themeColor="text1"/>
              </w:rPr>
              <w:t xml:space="preserve">Huile </w:t>
            </w:r>
          </w:p>
        </w:tc>
        <w:tc>
          <w:tcPr>
            <w:tcW w:w="3069" w:type="dxa"/>
          </w:tcPr>
          <w:p w14:paraId="19FFB0CC" w14:textId="77777777" w:rsidR="00F27423" w:rsidRPr="00915B33" w:rsidRDefault="00F2742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B33">
              <w:rPr>
                <w:rFonts w:ascii="Times New Roman" w:hAnsi="Times New Roman" w:cs="Times New Roman"/>
                <w:color w:val="000000" w:themeColor="text1"/>
              </w:rPr>
              <w:t>20</w:t>
            </w:r>
          </w:p>
        </w:tc>
        <w:tc>
          <w:tcPr>
            <w:cnfStyle w:val="000010000000" w:firstRow="0" w:lastRow="0" w:firstColumn="0" w:lastColumn="0" w:oddVBand="1" w:evenVBand="0" w:oddHBand="0" w:evenHBand="0" w:firstRowFirstColumn="0" w:firstRowLastColumn="0" w:lastRowFirstColumn="0" w:lastRowLastColumn="0"/>
            <w:tcW w:w="3073" w:type="dxa"/>
          </w:tcPr>
          <w:p w14:paraId="012E367D"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hAnsi="Times New Roman" w:cs="Times New Roman"/>
                <w:color w:val="000000" w:themeColor="text1"/>
              </w:rPr>
              <w:t>0.2</w:t>
            </w:r>
          </w:p>
        </w:tc>
      </w:tr>
      <w:tr w:rsidR="00915B33" w:rsidRPr="00915B33" w14:paraId="335504E4" w14:textId="77777777" w:rsidTr="006962A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0" w:type="dxa"/>
          </w:tcPr>
          <w:p w14:paraId="74E35455" w14:textId="77777777" w:rsidR="00F27423" w:rsidRPr="00915B33" w:rsidRDefault="00F27423">
            <w:pPr>
              <w:spacing w:line="240" w:lineRule="auto"/>
              <w:jc w:val="both"/>
              <w:rPr>
                <w:rFonts w:ascii="Times New Roman" w:hAnsi="Times New Roman" w:cs="Times New Roman"/>
                <w:b/>
                <w:color w:val="000000" w:themeColor="text1"/>
              </w:rPr>
            </w:pPr>
            <w:r w:rsidRPr="00915B33">
              <w:rPr>
                <w:rFonts w:ascii="Times New Roman" w:hAnsi="Times New Roman" w:cs="Times New Roman"/>
                <w:b/>
                <w:color w:val="000000" w:themeColor="text1"/>
              </w:rPr>
              <w:t xml:space="preserve">Graisse </w:t>
            </w:r>
          </w:p>
        </w:tc>
        <w:tc>
          <w:tcPr>
            <w:tcW w:w="3069" w:type="dxa"/>
          </w:tcPr>
          <w:p w14:paraId="5027456D" w14:textId="77777777" w:rsidR="00F27423" w:rsidRPr="00915B33" w:rsidRDefault="00F2742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B33">
              <w:rPr>
                <w:rFonts w:ascii="Times New Roman" w:hAnsi="Times New Roman" w:cs="Times New Roman"/>
                <w:color w:val="000000" w:themeColor="text1"/>
              </w:rPr>
              <w:t>20</w:t>
            </w:r>
          </w:p>
        </w:tc>
        <w:tc>
          <w:tcPr>
            <w:cnfStyle w:val="000010000000" w:firstRow="0" w:lastRow="0" w:firstColumn="0" w:lastColumn="0" w:oddVBand="1" w:evenVBand="0" w:oddHBand="0" w:evenHBand="0" w:firstRowFirstColumn="0" w:firstRowLastColumn="0" w:lastRowFirstColumn="0" w:lastRowLastColumn="0"/>
            <w:tcW w:w="3073" w:type="dxa"/>
          </w:tcPr>
          <w:p w14:paraId="0D9F4CE1" w14:textId="77777777" w:rsidR="00F27423" w:rsidRPr="00915B33" w:rsidRDefault="00F27423">
            <w:pPr>
              <w:spacing w:line="240" w:lineRule="auto"/>
              <w:jc w:val="center"/>
              <w:rPr>
                <w:rFonts w:ascii="Times New Roman" w:hAnsi="Times New Roman" w:cs="Times New Roman"/>
                <w:color w:val="000000" w:themeColor="text1"/>
              </w:rPr>
            </w:pPr>
            <w:r w:rsidRPr="00915B33">
              <w:rPr>
                <w:rFonts w:ascii="Times New Roman" w:hAnsi="Times New Roman" w:cs="Times New Roman"/>
                <w:color w:val="000000" w:themeColor="text1"/>
              </w:rPr>
              <w:t>0.05</w:t>
            </w:r>
          </w:p>
        </w:tc>
      </w:tr>
    </w:tbl>
    <w:p w14:paraId="5FA97EA9" w14:textId="77777777" w:rsidR="00F27423" w:rsidRPr="00915B33" w:rsidRDefault="00F27423">
      <w:pPr>
        <w:jc w:val="both"/>
        <w:rPr>
          <w:rFonts w:ascii="Times New Roman" w:hAnsi="Times New Roman" w:cs="Times New Roman"/>
          <w:color w:val="000000" w:themeColor="text1"/>
        </w:rPr>
      </w:pPr>
    </w:p>
    <w:p w14:paraId="046CFF73" w14:textId="77777777" w:rsidR="00F27423" w:rsidRPr="00915B33" w:rsidRDefault="00F27423">
      <w:pPr>
        <w:jc w:val="both"/>
        <w:rPr>
          <w:rFonts w:ascii="Times New Roman" w:hAnsi="Times New Roman" w:cs="Times New Roman"/>
          <w:color w:val="000000" w:themeColor="text1"/>
        </w:rPr>
      </w:pPr>
      <w:r w:rsidRPr="00915B33">
        <w:rPr>
          <w:rFonts w:ascii="Times New Roman" w:hAnsi="Times New Roman" w:cs="Times New Roman"/>
          <w:color w:val="000000" w:themeColor="text1"/>
        </w:rPr>
        <w:t>Equation 5.2 : lubrifiants –niveau 1</w:t>
      </w:r>
    </w:p>
    <w:p w14:paraId="6490A163" w14:textId="77777777" w:rsidR="00F27423" w:rsidRPr="00915B33" w:rsidRDefault="00F27423">
      <w:pPr>
        <w:pBdr>
          <w:top w:val="single" w:sz="12" w:space="1" w:color="000000"/>
          <w:left w:val="single" w:sz="12" w:space="4" w:color="000000"/>
          <w:bottom w:val="single" w:sz="12" w:space="1" w:color="000000"/>
          <w:right w:val="single" w:sz="12" w:space="30" w:color="000000"/>
        </w:pBdr>
        <w:spacing w:line="240" w:lineRule="auto"/>
        <w:ind w:left="1843" w:right="2268"/>
        <w:jc w:val="both"/>
        <w:rPr>
          <w:rFonts w:ascii="Times New Roman" w:hAnsi="Times New Roman" w:cs="Times New Roman"/>
          <w:color w:val="000000" w:themeColor="text1"/>
        </w:rPr>
      </w:pPr>
      <w:r w:rsidRPr="00915B33">
        <w:rPr>
          <w:rFonts w:ascii="Times New Roman" w:hAnsi="Times New Roman" w:cs="Times New Roman"/>
          <w:color w:val="000000" w:themeColor="text1"/>
        </w:rPr>
        <w:t>CO</w:t>
      </w:r>
      <w:r w:rsidRPr="00915B33">
        <w:rPr>
          <w:rFonts w:ascii="Times New Roman" w:hAnsi="Times New Roman" w:cs="Times New Roman"/>
          <w:color w:val="000000" w:themeColor="text1"/>
          <w:vertAlign w:val="subscript"/>
        </w:rPr>
        <w:t>2</w:t>
      </w:r>
      <w:r w:rsidRPr="00915B33">
        <w:rPr>
          <w:rFonts w:ascii="Times New Roman" w:hAnsi="Times New Roman" w:cs="Times New Roman"/>
          <w:color w:val="000000" w:themeColor="text1"/>
        </w:rPr>
        <w:t xml:space="preserve"> (Emissions) = LC * CC</w:t>
      </w:r>
      <w:r w:rsidRPr="00915B33">
        <w:rPr>
          <w:rFonts w:ascii="Times New Roman" w:hAnsi="Times New Roman" w:cs="Times New Roman"/>
          <w:color w:val="000000" w:themeColor="text1"/>
          <w:vertAlign w:val="subscript"/>
        </w:rPr>
        <w:t>Lubrifiant</w:t>
      </w:r>
      <w:r w:rsidRPr="00915B33">
        <w:rPr>
          <w:rFonts w:ascii="Times New Roman" w:hAnsi="Times New Roman" w:cs="Times New Roman"/>
          <w:color w:val="000000" w:themeColor="text1"/>
        </w:rPr>
        <w:t>* OPU</w:t>
      </w:r>
      <w:r w:rsidRPr="00915B33">
        <w:rPr>
          <w:rFonts w:ascii="Times New Roman" w:hAnsi="Times New Roman" w:cs="Times New Roman"/>
          <w:color w:val="000000" w:themeColor="text1"/>
          <w:vertAlign w:val="subscript"/>
        </w:rPr>
        <w:t>Lubrifiant</w:t>
      </w:r>
      <w:r w:rsidRPr="00915B33">
        <w:rPr>
          <w:rFonts w:ascii="Times New Roman" w:hAnsi="Times New Roman" w:cs="Times New Roman"/>
          <w:color w:val="000000" w:themeColor="text1"/>
        </w:rPr>
        <w:t>* 44/12</w:t>
      </w:r>
    </w:p>
    <w:p w14:paraId="1B8C3F2A" w14:textId="77777777" w:rsidR="00F27423" w:rsidRPr="00915B33" w:rsidRDefault="00F27423">
      <w:pPr>
        <w:jc w:val="both"/>
        <w:rPr>
          <w:rFonts w:ascii="Times New Roman" w:hAnsi="Times New Roman" w:cs="Times New Roman"/>
          <w:color w:val="000000" w:themeColor="text1"/>
        </w:rPr>
      </w:pPr>
      <w:r w:rsidRPr="00915B33">
        <w:rPr>
          <w:rFonts w:ascii="Times New Roman" w:hAnsi="Times New Roman" w:cs="Times New Roman"/>
          <w:color w:val="000000" w:themeColor="text1"/>
        </w:rPr>
        <w:t>Emissions CO</w:t>
      </w:r>
      <w:r w:rsidRPr="00915B33">
        <w:rPr>
          <w:rFonts w:ascii="Times New Roman" w:hAnsi="Times New Roman" w:cs="Times New Roman"/>
          <w:color w:val="000000" w:themeColor="text1"/>
          <w:vertAlign w:val="subscript"/>
        </w:rPr>
        <w:t>2</w:t>
      </w:r>
      <w:r w:rsidRPr="00915B33">
        <w:rPr>
          <w:rFonts w:ascii="Times New Roman" w:hAnsi="Times New Roman" w:cs="Times New Roman"/>
          <w:color w:val="000000" w:themeColor="text1"/>
        </w:rPr>
        <w:t xml:space="preserve"> = LC * CC</w:t>
      </w:r>
      <w:r w:rsidRPr="00915B33">
        <w:rPr>
          <w:rFonts w:ascii="Times New Roman" w:hAnsi="Times New Roman" w:cs="Times New Roman"/>
          <w:color w:val="000000" w:themeColor="text1"/>
          <w:vertAlign w:val="subscript"/>
        </w:rPr>
        <w:t>Lubrifiant</w:t>
      </w:r>
      <w:r w:rsidRPr="00915B33">
        <w:rPr>
          <w:rFonts w:ascii="Times New Roman" w:hAnsi="Times New Roman" w:cs="Times New Roman"/>
          <w:color w:val="000000" w:themeColor="text1"/>
        </w:rPr>
        <w:t xml:space="preserve"> * OPU</w:t>
      </w:r>
      <w:r w:rsidRPr="00915B33">
        <w:rPr>
          <w:rFonts w:ascii="Times New Roman" w:hAnsi="Times New Roman" w:cs="Times New Roman"/>
          <w:color w:val="000000" w:themeColor="text1"/>
          <w:vertAlign w:val="subscript"/>
        </w:rPr>
        <w:t>Lubrifiant</w:t>
      </w:r>
      <w:r w:rsidRPr="00915B33">
        <w:rPr>
          <w:rFonts w:ascii="Times New Roman" w:hAnsi="Times New Roman" w:cs="Times New Roman"/>
          <w:color w:val="000000" w:themeColor="text1"/>
        </w:rPr>
        <w:t xml:space="preserve"> * 44/12</w:t>
      </w:r>
    </w:p>
    <w:p w14:paraId="6E5FECD2" w14:textId="77777777" w:rsidR="00F27423" w:rsidRPr="00915B33" w:rsidRDefault="00F27423">
      <w:pPr>
        <w:spacing w:after="120" w:line="24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Où : </w:t>
      </w:r>
    </w:p>
    <w:p w14:paraId="710D27D3" w14:textId="77777777" w:rsidR="00F27423" w:rsidRPr="00915B33" w:rsidRDefault="00F27423" w:rsidP="00B02B7B">
      <w:pPr>
        <w:spacing w:after="120" w:line="360" w:lineRule="auto"/>
        <w:ind w:left="920" w:hanging="340"/>
        <w:jc w:val="both"/>
        <w:rPr>
          <w:rFonts w:ascii="Times New Roman" w:hAnsi="Times New Roman" w:cs="Times New Roman"/>
          <w:color w:val="000000" w:themeColor="text1"/>
        </w:rPr>
      </w:pPr>
      <w:r w:rsidRPr="00915B33">
        <w:rPr>
          <w:rFonts w:ascii="Times New Roman" w:hAnsi="Times New Roman" w:cs="Times New Roman"/>
          <w:color w:val="000000" w:themeColor="text1"/>
        </w:rPr>
        <w:t>CO</w:t>
      </w:r>
      <w:r w:rsidRPr="00915B33">
        <w:rPr>
          <w:rFonts w:ascii="Times New Roman" w:hAnsi="Times New Roman" w:cs="Times New Roman"/>
          <w:color w:val="000000" w:themeColor="text1"/>
          <w:vertAlign w:val="subscript"/>
        </w:rPr>
        <w:t>2</w:t>
      </w:r>
      <w:r w:rsidRPr="00915B33">
        <w:rPr>
          <w:rFonts w:ascii="Times New Roman" w:hAnsi="Times New Roman" w:cs="Times New Roman"/>
          <w:color w:val="000000" w:themeColor="text1"/>
        </w:rPr>
        <w:t xml:space="preserve"> Emissions : émissions de CO2 issues de lubrifiants, tonne de CO</w:t>
      </w:r>
      <w:r w:rsidRPr="00915B33">
        <w:rPr>
          <w:rFonts w:ascii="Times New Roman" w:hAnsi="Times New Roman" w:cs="Times New Roman"/>
          <w:color w:val="000000" w:themeColor="text1"/>
          <w:vertAlign w:val="subscript"/>
        </w:rPr>
        <w:t>2</w:t>
      </w:r>
    </w:p>
    <w:p w14:paraId="20BDCD74" w14:textId="77777777" w:rsidR="00F27423" w:rsidRPr="00915B33" w:rsidRDefault="00F27423" w:rsidP="00B02B7B">
      <w:pPr>
        <w:spacing w:after="120" w:line="360" w:lineRule="auto"/>
        <w:ind w:left="920" w:hanging="340"/>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LC : consommation totale de lubrifiants, TJ </w:t>
      </w:r>
    </w:p>
    <w:p w14:paraId="2C7FA219" w14:textId="77777777" w:rsidR="00F27423" w:rsidRPr="00915B33" w:rsidRDefault="00F27423" w:rsidP="00B02B7B">
      <w:pPr>
        <w:spacing w:after="120" w:line="360" w:lineRule="auto"/>
        <w:ind w:left="920" w:hanging="340"/>
        <w:jc w:val="both"/>
        <w:rPr>
          <w:rFonts w:ascii="Times New Roman" w:hAnsi="Times New Roman" w:cs="Times New Roman"/>
          <w:color w:val="000000" w:themeColor="text1"/>
        </w:rPr>
      </w:pPr>
      <w:r w:rsidRPr="00915B33">
        <w:rPr>
          <w:rFonts w:ascii="Times New Roman" w:hAnsi="Times New Roman" w:cs="Times New Roman"/>
          <w:color w:val="000000" w:themeColor="text1"/>
        </w:rPr>
        <w:t>CC</w:t>
      </w:r>
      <w:r w:rsidRPr="00915B33">
        <w:rPr>
          <w:rFonts w:ascii="Times New Roman" w:hAnsi="Times New Roman" w:cs="Times New Roman"/>
          <w:color w:val="000000" w:themeColor="text1"/>
          <w:vertAlign w:val="subscript"/>
        </w:rPr>
        <w:t>Lubrifiant</w:t>
      </w:r>
      <w:r w:rsidRPr="00915B33">
        <w:rPr>
          <w:rFonts w:ascii="Times New Roman" w:hAnsi="Times New Roman" w:cs="Times New Roman"/>
          <w:color w:val="000000" w:themeColor="text1"/>
        </w:rPr>
        <w:t xml:space="preserve"> : contenu en carbone des lubrifiants (par défaut), tonne C/TJ (=kg C/GJ) </w:t>
      </w:r>
    </w:p>
    <w:p w14:paraId="377A7372" w14:textId="77777777" w:rsidR="00F27423" w:rsidRPr="00915B33" w:rsidRDefault="00F27423" w:rsidP="00B02B7B">
      <w:pPr>
        <w:spacing w:after="120" w:line="360" w:lineRule="auto"/>
        <w:ind w:left="920" w:hanging="340"/>
        <w:jc w:val="both"/>
        <w:rPr>
          <w:rFonts w:ascii="Times New Roman" w:hAnsi="Times New Roman" w:cs="Times New Roman"/>
          <w:color w:val="000000" w:themeColor="text1"/>
        </w:rPr>
      </w:pPr>
      <w:r w:rsidRPr="00915B33">
        <w:rPr>
          <w:rFonts w:ascii="Times New Roman" w:hAnsi="Times New Roman" w:cs="Times New Roman"/>
          <w:color w:val="000000" w:themeColor="text1"/>
        </w:rPr>
        <w:t>OPU</w:t>
      </w:r>
      <w:r w:rsidRPr="00915B33">
        <w:rPr>
          <w:rFonts w:ascii="Times New Roman" w:hAnsi="Times New Roman" w:cs="Times New Roman"/>
          <w:color w:val="000000" w:themeColor="text1"/>
          <w:vertAlign w:val="subscript"/>
        </w:rPr>
        <w:t>Lubrifiant</w:t>
      </w:r>
      <w:r w:rsidRPr="00915B33">
        <w:rPr>
          <w:rFonts w:ascii="Times New Roman" w:hAnsi="Times New Roman" w:cs="Times New Roman"/>
          <w:color w:val="000000" w:themeColor="text1"/>
        </w:rPr>
        <w:t xml:space="preserve"> : facteur OPU (basé sur une composition par défaut en huile et graisse), fraction </w:t>
      </w:r>
    </w:p>
    <w:p w14:paraId="6FABB880" w14:textId="77777777" w:rsidR="00F27423" w:rsidRPr="00915B33" w:rsidRDefault="00F27423" w:rsidP="00B02B7B">
      <w:pPr>
        <w:spacing w:after="120" w:line="360" w:lineRule="auto"/>
        <w:ind w:left="920" w:hanging="340"/>
        <w:jc w:val="both"/>
        <w:rPr>
          <w:rFonts w:ascii="Times New Roman" w:hAnsi="Times New Roman" w:cs="Times New Roman"/>
          <w:color w:val="000000" w:themeColor="text1"/>
        </w:rPr>
      </w:pPr>
      <w:r w:rsidRPr="00915B33">
        <w:rPr>
          <w:rFonts w:ascii="Times New Roman" w:hAnsi="Times New Roman" w:cs="Times New Roman"/>
          <w:color w:val="000000" w:themeColor="text1"/>
        </w:rPr>
        <w:t>44/12 : rapport massique de CO</w:t>
      </w:r>
      <w:r w:rsidRPr="00915B33">
        <w:rPr>
          <w:rFonts w:ascii="Times New Roman" w:hAnsi="Times New Roman" w:cs="Times New Roman"/>
          <w:color w:val="000000" w:themeColor="text1"/>
          <w:vertAlign w:val="subscript"/>
        </w:rPr>
        <w:t>2</w:t>
      </w:r>
      <w:r w:rsidRPr="00915B33">
        <w:rPr>
          <w:rFonts w:ascii="Times New Roman" w:hAnsi="Times New Roman" w:cs="Times New Roman"/>
          <w:color w:val="000000" w:themeColor="text1"/>
        </w:rPr>
        <w:t>/C</w:t>
      </w:r>
    </w:p>
    <w:p w14:paraId="29D1E968" w14:textId="77777777" w:rsidR="00F27423" w:rsidRPr="00915B33" w:rsidRDefault="00F27423" w:rsidP="00B02B7B">
      <w:pPr>
        <w:spacing w:line="360" w:lineRule="auto"/>
        <w:ind w:firstLine="580"/>
        <w:jc w:val="both"/>
        <w:rPr>
          <w:rFonts w:ascii="Times New Roman" w:hAnsi="Times New Roman" w:cs="Times New Roman"/>
          <w:color w:val="000000" w:themeColor="text1"/>
        </w:rPr>
      </w:pPr>
      <w:r w:rsidRPr="00915B33">
        <w:rPr>
          <w:rFonts w:ascii="Times New Roman" w:hAnsi="Times New Roman" w:cs="Times New Roman"/>
          <w:color w:val="000000" w:themeColor="text1"/>
        </w:rPr>
        <w:t>40,2 : facteur de conversion en joule</w:t>
      </w:r>
      <w:r w:rsidRPr="00915B33">
        <w:rPr>
          <w:rStyle w:val="Appelnotedebasdep"/>
          <w:rFonts w:ascii="Times New Roman" w:hAnsi="Times New Roman" w:cs="Times New Roman"/>
          <w:color w:val="000000" w:themeColor="text1"/>
        </w:rPr>
        <w:footnoteReference w:id="18"/>
      </w:r>
    </w:p>
    <w:p w14:paraId="74F40BA0" w14:textId="77777777"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Valeurs caloriques nettes par défaut (Vol2_1_Ch1_Introduction)</w:t>
      </w:r>
    </w:p>
    <w:p w14:paraId="516EF8F4" w14:textId="73DCE626"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Les émissions de COVNM </w:t>
      </w:r>
      <w:r w:rsidR="0020666E" w:rsidRPr="00915B33">
        <w:rPr>
          <w:rFonts w:ascii="Times New Roman" w:hAnsi="Times New Roman" w:cs="Times New Roman"/>
          <w:color w:val="000000" w:themeColor="text1"/>
        </w:rPr>
        <w:t xml:space="preserve">provenant de </w:t>
      </w:r>
      <w:r w:rsidRPr="00915B33">
        <w:rPr>
          <w:rFonts w:ascii="Times New Roman" w:hAnsi="Times New Roman" w:cs="Times New Roman"/>
          <w:color w:val="000000" w:themeColor="text1"/>
        </w:rPr>
        <w:t xml:space="preserve">l’usage des lubrifiants sont </w:t>
      </w:r>
      <w:r w:rsidR="0020666E" w:rsidRPr="00915B33">
        <w:rPr>
          <w:rFonts w:ascii="Times New Roman" w:hAnsi="Times New Roman" w:cs="Times New Roman"/>
          <w:color w:val="000000" w:themeColor="text1"/>
        </w:rPr>
        <w:t>caractérisées</w:t>
      </w:r>
      <w:r w:rsidRPr="00915B33">
        <w:rPr>
          <w:rFonts w:ascii="Times New Roman" w:hAnsi="Times New Roman" w:cs="Times New Roman"/>
          <w:color w:val="000000" w:themeColor="text1"/>
        </w:rPr>
        <w:t xml:space="preserve"> par une tendance générale à la hausse, reflétant l’augmentation des importations d’huiles et de graisses (graphique 10). </w:t>
      </w:r>
      <w:r w:rsidR="0020666E" w:rsidRPr="00915B33">
        <w:rPr>
          <w:rFonts w:ascii="Times New Roman" w:hAnsi="Times New Roman" w:cs="Times New Roman"/>
          <w:color w:val="000000" w:themeColor="text1"/>
        </w:rPr>
        <w:t>Dans le cadre du présent exercice</w:t>
      </w:r>
      <w:r w:rsidRPr="00915B33">
        <w:rPr>
          <w:rFonts w:ascii="Times New Roman" w:hAnsi="Times New Roman" w:cs="Times New Roman"/>
          <w:color w:val="000000" w:themeColor="text1"/>
        </w:rPr>
        <w:t xml:space="preserve">, les émissions ont atteint un total </w:t>
      </w:r>
      <w:r w:rsidR="00EC1037" w:rsidRPr="00915B33">
        <w:rPr>
          <w:rFonts w:ascii="Times New Roman" w:hAnsi="Times New Roman" w:cs="Times New Roman"/>
          <w:color w:val="000000" w:themeColor="text1"/>
        </w:rPr>
        <w:t>8,906</w:t>
      </w:r>
      <w:r w:rsidRPr="00915B33">
        <w:rPr>
          <w:rFonts w:ascii="Times New Roman" w:hAnsi="Times New Roman" w:cs="Times New Roman"/>
          <w:color w:val="000000" w:themeColor="text1"/>
        </w:rPr>
        <w:t xml:space="preserve"> Gg de CO</w:t>
      </w:r>
      <w:r w:rsidRPr="00915B33">
        <w:rPr>
          <w:rFonts w:ascii="Times New Roman" w:hAnsi="Times New Roman" w:cs="Times New Roman"/>
          <w:color w:val="000000" w:themeColor="text1"/>
          <w:vertAlign w:val="subscript"/>
        </w:rPr>
        <w:t>2</w:t>
      </w:r>
      <w:r w:rsidR="00EC1037" w:rsidRPr="00915B33">
        <w:rPr>
          <w:rFonts w:ascii="Times New Roman" w:hAnsi="Times New Roman" w:cs="Times New Roman"/>
          <w:color w:val="000000" w:themeColor="text1"/>
          <w:vertAlign w:val="subscript"/>
        </w:rPr>
        <w:t>.</w:t>
      </w:r>
    </w:p>
    <w:p w14:paraId="29517DFC" w14:textId="10C7B68E" w:rsidR="00F27423" w:rsidRPr="00915B33" w:rsidRDefault="00F27423">
      <w:pPr>
        <w:jc w:val="both"/>
        <w:rPr>
          <w:rFonts w:ascii="Times New Roman" w:hAnsi="Times New Roman" w:cs="Times New Roman"/>
          <w:color w:val="000000" w:themeColor="text1"/>
        </w:rPr>
      </w:pPr>
    </w:p>
    <w:p w14:paraId="365B021E" w14:textId="7FE1086D" w:rsidR="00F27423" w:rsidRPr="00915B33" w:rsidRDefault="000F5FA4" w:rsidP="008172B2">
      <w:pPr>
        <w:jc w:val="center"/>
        <w:rPr>
          <w:rFonts w:ascii="Times New Roman" w:hAnsi="Times New Roman" w:cs="Times New Roman"/>
          <w:b/>
          <w:bCs/>
          <w:color w:val="000000" w:themeColor="text1"/>
        </w:rPr>
      </w:pPr>
      <w:r w:rsidRPr="00915B33">
        <w:rPr>
          <w:noProof/>
          <w:color w:val="000000" w:themeColor="text1"/>
        </w:rPr>
        <w:drawing>
          <wp:inline distT="0" distB="0" distL="0" distR="0" wp14:anchorId="770D4A9C" wp14:editId="64F5AD30">
            <wp:extent cx="5760720" cy="2962910"/>
            <wp:effectExtent l="0" t="0" r="0" b="0"/>
            <wp:docPr id="10" name="Graphique 10">
              <a:extLst xmlns:a="http://schemas.openxmlformats.org/drawingml/2006/main">
                <a:ext uri="{FF2B5EF4-FFF2-40B4-BE49-F238E27FC236}">
                  <a16:creationId xmlns:a16="http://schemas.microsoft.com/office/drawing/2014/main" id="{ABF6C2C8-C6F6-4415-A89B-E171D533AB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C6CFD02" w14:textId="07BEA2D9" w:rsidR="00F27423" w:rsidRPr="00915B33" w:rsidRDefault="00982C8D">
      <w:pPr>
        <w:jc w:val="center"/>
        <w:rPr>
          <w:rFonts w:ascii="Times New Roman" w:hAnsi="Times New Roman" w:cs="Times New Roman"/>
          <w:color w:val="000000" w:themeColor="text1"/>
        </w:rPr>
      </w:pPr>
      <w:r w:rsidRPr="00915B33">
        <w:rPr>
          <w:rFonts w:ascii="Times New Roman" w:hAnsi="Times New Roman" w:cs="Times New Roman"/>
          <w:b/>
          <w:bCs/>
          <w:color w:val="000000" w:themeColor="text1"/>
        </w:rPr>
        <w:t xml:space="preserve">Graphique </w:t>
      </w:r>
      <w:r w:rsidR="003F1589" w:rsidRPr="00915B33">
        <w:rPr>
          <w:rFonts w:ascii="Times New Roman" w:hAnsi="Times New Roman" w:cs="Times New Roman"/>
          <w:b/>
          <w:bCs/>
          <w:color w:val="000000" w:themeColor="text1"/>
        </w:rPr>
        <w:t>9</w:t>
      </w:r>
      <w:r w:rsidR="00F27423" w:rsidRPr="00915B33">
        <w:rPr>
          <w:rFonts w:ascii="Times New Roman" w:hAnsi="Times New Roman" w:cs="Times New Roman"/>
          <w:b/>
          <w:bCs/>
          <w:color w:val="000000" w:themeColor="text1"/>
        </w:rPr>
        <w:t xml:space="preserve"> : </w:t>
      </w:r>
      <w:r w:rsidR="00F27423" w:rsidRPr="00915B33">
        <w:rPr>
          <w:rFonts w:ascii="Times New Roman" w:hAnsi="Times New Roman" w:cs="Times New Roman"/>
          <w:bCs/>
          <w:color w:val="000000" w:themeColor="text1"/>
        </w:rPr>
        <w:t>Évolutions des émissions de CO</w:t>
      </w:r>
      <w:r w:rsidR="00F27423" w:rsidRPr="00915B33">
        <w:rPr>
          <w:rFonts w:ascii="Times New Roman" w:hAnsi="Times New Roman" w:cs="Times New Roman"/>
          <w:bCs/>
          <w:color w:val="000000" w:themeColor="text1"/>
          <w:vertAlign w:val="subscript"/>
        </w:rPr>
        <w:t>2</w:t>
      </w:r>
      <w:r w:rsidR="00F27423" w:rsidRPr="00915B33">
        <w:rPr>
          <w:rFonts w:ascii="Times New Roman" w:hAnsi="Times New Roman" w:cs="Times New Roman"/>
          <w:bCs/>
          <w:color w:val="000000" w:themeColor="text1"/>
        </w:rPr>
        <w:t xml:space="preserve"> dues à l'usage de lubrifiants 1990-20</w:t>
      </w:r>
      <w:r w:rsidR="00D379A1">
        <w:rPr>
          <w:rFonts w:ascii="Times New Roman" w:hAnsi="Times New Roman" w:cs="Times New Roman"/>
          <w:bCs/>
          <w:color w:val="000000" w:themeColor="text1"/>
        </w:rPr>
        <w:t>22</w:t>
      </w:r>
    </w:p>
    <w:p w14:paraId="5C3313D6" w14:textId="602E05AC"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w:t>
      </w:r>
      <w:r w:rsidR="0003684C" w:rsidRPr="00915B33">
        <w:rPr>
          <w:rFonts w:ascii="Times New Roman" w:hAnsi="Times New Roman" w:cs="Times New Roman"/>
          <w:color w:val="000000" w:themeColor="text1"/>
        </w:rPr>
        <w:t xml:space="preserve">observation du graphique portant </w:t>
      </w:r>
      <w:r w:rsidRPr="00915B33">
        <w:rPr>
          <w:rFonts w:ascii="Times New Roman" w:hAnsi="Times New Roman" w:cs="Times New Roman"/>
          <w:color w:val="000000" w:themeColor="text1"/>
        </w:rPr>
        <w:t>variations entre deux inventaires montrent que</w:t>
      </w:r>
      <w:r w:rsidR="00796550" w:rsidRPr="00915B33">
        <w:rPr>
          <w:rFonts w:ascii="Times New Roman" w:hAnsi="Times New Roman" w:cs="Times New Roman"/>
          <w:color w:val="000000" w:themeColor="text1"/>
        </w:rPr>
        <w:t xml:space="preserve"> la plus forte augmentation </w:t>
      </w:r>
      <w:r w:rsidRPr="00915B33">
        <w:rPr>
          <w:rFonts w:ascii="Times New Roman" w:hAnsi="Times New Roman" w:cs="Times New Roman"/>
          <w:color w:val="000000" w:themeColor="text1"/>
        </w:rPr>
        <w:t>des émissions</w:t>
      </w:r>
      <w:r w:rsidR="00796550" w:rsidRPr="00915B33">
        <w:rPr>
          <w:rFonts w:ascii="Times New Roman" w:hAnsi="Times New Roman" w:cs="Times New Roman"/>
          <w:color w:val="000000" w:themeColor="text1"/>
        </w:rPr>
        <w:t xml:space="preserve"> a été notée en 2010, lors de la deuxième </w:t>
      </w:r>
      <w:r w:rsidR="00C44574" w:rsidRPr="00915B33">
        <w:rPr>
          <w:rFonts w:ascii="Times New Roman" w:hAnsi="Times New Roman" w:cs="Times New Roman"/>
          <w:color w:val="000000" w:themeColor="text1"/>
        </w:rPr>
        <w:t>communication</w:t>
      </w:r>
      <w:r w:rsidR="00796550" w:rsidRPr="00915B33">
        <w:rPr>
          <w:rFonts w:ascii="Times New Roman" w:hAnsi="Times New Roman" w:cs="Times New Roman"/>
          <w:color w:val="000000" w:themeColor="text1"/>
        </w:rPr>
        <w:t xml:space="preserve"> nationale. </w:t>
      </w:r>
      <w:r w:rsidR="00696197" w:rsidRPr="00915B33">
        <w:rPr>
          <w:rFonts w:ascii="Times New Roman" w:hAnsi="Times New Roman" w:cs="Times New Roman"/>
          <w:color w:val="000000" w:themeColor="text1"/>
        </w:rPr>
        <w:t xml:space="preserve">Cette </w:t>
      </w:r>
      <w:r w:rsidR="00796550" w:rsidRPr="00915B33">
        <w:rPr>
          <w:rFonts w:ascii="Times New Roman" w:hAnsi="Times New Roman" w:cs="Times New Roman"/>
          <w:color w:val="000000" w:themeColor="text1"/>
        </w:rPr>
        <w:t xml:space="preserve">hausse </w:t>
      </w:r>
      <w:r w:rsidR="00696197" w:rsidRPr="00915B33">
        <w:rPr>
          <w:rFonts w:ascii="Times New Roman" w:hAnsi="Times New Roman" w:cs="Times New Roman"/>
          <w:color w:val="000000" w:themeColor="text1"/>
        </w:rPr>
        <w:t xml:space="preserve">de </w:t>
      </w:r>
      <w:r w:rsidR="00796550" w:rsidRPr="00915B33">
        <w:rPr>
          <w:rFonts w:ascii="Times New Roman" w:hAnsi="Times New Roman" w:cs="Times New Roman"/>
          <w:color w:val="000000" w:themeColor="text1"/>
        </w:rPr>
        <w:t>66,68%</w:t>
      </w:r>
      <w:r w:rsidR="00696197" w:rsidRPr="00915B33">
        <w:rPr>
          <w:rFonts w:ascii="Times New Roman" w:hAnsi="Times New Roman" w:cs="Times New Roman"/>
          <w:color w:val="000000" w:themeColor="text1"/>
        </w:rPr>
        <w:t xml:space="preserve"> par rapport à 2000 peut s’expliquer par la construction de 470 km de route bitumée reliant Nouadhibou, la capitale économique, à Nouakchott la capitale politique, intervenue durant cette décennie.</w:t>
      </w:r>
      <w:r w:rsidR="00796550" w:rsidRPr="00915B33">
        <w:rPr>
          <w:rFonts w:ascii="Times New Roman" w:hAnsi="Times New Roman" w:cs="Times New Roman"/>
          <w:color w:val="000000" w:themeColor="text1"/>
        </w:rPr>
        <w:t xml:space="preserve"> </w:t>
      </w:r>
      <w:r w:rsidR="00B6187C" w:rsidRPr="00915B33">
        <w:rPr>
          <w:rFonts w:ascii="Times New Roman" w:hAnsi="Times New Roman" w:cs="Times New Roman"/>
          <w:color w:val="000000" w:themeColor="text1"/>
        </w:rPr>
        <w:t xml:space="preserve">Les taux de variations obtenus durant les </w:t>
      </w:r>
      <w:r w:rsidR="00FA09B7" w:rsidRPr="00915B33">
        <w:rPr>
          <w:rFonts w:ascii="Times New Roman" w:hAnsi="Times New Roman" w:cs="Times New Roman"/>
          <w:color w:val="000000" w:themeColor="text1"/>
        </w:rPr>
        <w:t xml:space="preserve">inventaires de GES </w:t>
      </w:r>
      <w:r w:rsidR="00796550" w:rsidRPr="00915B33">
        <w:rPr>
          <w:rFonts w:ascii="Times New Roman" w:hAnsi="Times New Roman" w:cs="Times New Roman"/>
          <w:color w:val="000000" w:themeColor="text1"/>
        </w:rPr>
        <w:t>suivants</w:t>
      </w:r>
      <w:r w:rsidR="00B6187C" w:rsidRPr="00915B33">
        <w:rPr>
          <w:rFonts w:ascii="Times New Roman" w:hAnsi="Times New Roman" w:cs="Times New Roman"/>
          <w:color w:val="000000" w:themeColor="text1"/>
        </w:rPr>
        <w:t xml:space="preserve"> sont moins importants, mais demeurent significatives sauf en 2015</w:t>
      </w:r>
      <w:r w:rsidR="00796550" w:rsidRPr="00915B33">
        <w:rPr>
          <w:rFonts w:ascii="Times New Roman" w:hAnsi="Times New Roman" w:cs="Times New Roman"/>
          <w:color w:val="000000" w:themeColor="text1"/>
        </w:rPr>
        <w:t>.</w:t>
      </w:r>
    </w:p>
    <w:p w14:paraId="2E8CD7FA" w14:textId="49C08D9E" w:rsidR="00F27423" w:rsidRPr="00915B33" w:rsidRDefault="00863AE7" w:rsidP="008172B2">
      <w:pPr>
        <w:jc w:val="center"/>
        <w:rPr>
          <w:rFonts w:ascii="Times New Roman" w:hAnsi="Times New Roman" w:cs="Times New Roman"/>
          <w:b/>
          <w:color w:val="000000" w:themeColor="text1"/>
        </w:rPr>
      </w:pPr>
      <w:r w:rsidRPr="00915B33">
        <w:rPr>
          <w:noProof/>
          <w:color w:val="000000" w:themeColor="text1"/>
        </w:rPr>
        <w:drawing>
          <wp:inline distT="0" distB="0" distL="0" distR="0" wp14:anchorId="7B05D105" wp14:editId="2AAB0054">
            <wp:extent cx="5508000" cy="3528000"/>
            <wp:effectExtent l="0" t="0" r="0" b="0"/>
            <wp:docPr id="11" name="Graphique 11">
              <a:extLst xmlns:a="http://schemas.openxmlformats.org/drawingml/2006/main">
                <a:ext uri="{FF2B5EF4-FFF2-40B4-BE49-F238E27FC236}">
                  <a16:creationId xmlns:a16="http://schemas.microsoft.com/office/drawing/2014/main" id="{AEEDB625-78A9-4A69-9B11-D79335F73E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C46667D" w14:textId="483B8DBE" w:rsidR="00F27423" w:rsidRPr="00915B33" w:rsidRDefault="00F27423">
      <w:pPr>
        <w:jc w:val="center"/>
        <w:rPr>
          <w:rFonts w:ascii="Times New Roman" w:hAnsi="Times New Roman" w:cs="Times New Roman"/>
          <w:color w:val="000000" w:themeColor="text1"/>
          <w:lang w:eastAsia="fr-FR"/>
        </w:rPr>
      </w:pPr>
      <w:r w:rsidRPr="00915B33">
        <w:rPr>
          <w:rFonts w:ascii="Times New Roman" w:hAnsi="Times New Roman" w:cs="Times New Roman"/>
          <w:b/>
          <w:color w:val="000000" w:themeColor="text1"/>
        </w:rPr>
        <w:t>Graphique 1</w:t>
      </w:r>
      <w:r w:rsidR="003F1589" w:rsidRPr="00915B33">
        <w:rPr>
          <w:rFonts w:ascii="Times New Roman" w:hAnsi="Times New Roman" w:cs="Times New Roman"/>
          <w:b/>
          <w:color w:val="000000" w:themeColor="text1"/>
        </w:rPr>
        <w:t>0</w:t>
      </w:r>
      <w:r w:rsidR="00ED2C08" w:rsidRPr="00915B33">
        <w:rPr>
          <w:rFonts w:ascii="Times New Roman" w:hAnsi="Times New Roman" w:cs="Times New Roman"/>
          <w:b/>
          <w:color w:val="000000" w:themeColor="text1"/>
        </w:rPr>
        <w:t xml:space="preserve"> </w:t>
      </w:r>
      <w:r w:rsidRPr="00915B33">
        <w:rPr>
          <w:rFonts w:ascii="Times New Roman" w:hAnsi="Times New Roman" w:cs="Times New Roman"/>
          <w:color w:val="000000" w:themeColor="text1"/>
        </w:rPr>
        <w:t xml:space="preserve">: </w:t>
      </w:r>
      <w:r w:rsidRPr="00915B33">
        <w:rPr>
          <w:rFonts w:ascii="Times New Roman" w:hAnsi="Times New Roman" w:cs="Times New Roman"/>
          <w:bCs/>
          <w:color w:val="000000" w:themeColor="text1"/>
        </w:rPr>
        <w:t xml:space="preserve">Taux de variation des émissions de COVNM </w:t>
      </w:r>
      <w:r w:rsidR="00690860" w:rsidRPr="00915B33">
        <w:rPr>
          <w:rFonts w:ascii="Times New Roman" w:hAnsi="Times New Roman" w:cs="Times New Roman"/>
          <w:bCs/>
          <w:color w:val="000000" w:themeColor="text1"/>
        </w:rPr>
        <w:t xml:space="preserve">des lubrifiants entre les inventaires </w:t>
      </w:r>
    </w:p>
    <w:p w14:paraId="63D6ACFD" w14:textId="77777777" w:rsidR="00F27423" w:rsidRPr="00EE7F4C" w:rsidRDefault="00F27423" w:rsidP="00BC2557">
      <w:pPr>
        <w:pStyle w:val="Sous-titre"/>
        <w:numPr>
          <w:ilvl w:val="0"/>
          <w:numId w:val="28"/>
        </w:numPr>
        <w:outlineLvl w:val="2"/>
        <w:rPr>
          <w:lang w:eastAsia="fr-FR"/>
        </w:rPr>
      </w:pPr>
      <w:bookmarkStart w:id="69" w:name="_Toc157935490"/>
      <w:r w:rsidRPr="00EE7F4C">
        <w:rPr>
          <w:lang w:eastAsia="fr-FR"/>
        </w:rPr>
        <w:t>Incertitudes</w:t>
      </w:r>
      <w:bookmarkEnd w:id="69"/>
    </w:p>
    <w:p w14:paraId="35155729" w14:textId="71FD1E85" w:rsidR="008B3947" w:rsidRPr="00915B33" w:rsidRDefault="008B3947" w:rsidP="00B02B7B">
      <w:pPr>
        <w:spacing w:line="360" w:lineRule="auto"/>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 xml:space="preserve">Les contraintes à l’accès aux données rencontrées </w:t>
      </w:r>
      <w:r w:rsidR="00737496" w:rsidRPr="00915B33">
        <w:rPr>
          <w:rFonts w:ascii="Times New Roman" w:hAnsi="Times New Roman" w:cs="Times New Roman"/>
          <w:color w:val="000000" w:themeColor="text1"/>
          <w:lang w:eastAsia="fr-FR"/>
        </w:rPr>
        <w:t xml:space="preserve">pour les autres secteurs existent également pour ce qui concerne les informations reliées à l’importation des lubrifiants. Même lorsqu’elles collaborent, les entreprises ne </w:t>
      </w:r>
      <w:r w:rsidR="00371814" w:rsidRPr="00915B33">
        <w:rPr>
          <w:rFonts w:ascii="Times New Roman" w:hAnsi="Times New Roman" w:cs="Times New Roman"/>
          <w:color w:val="000000" w:themeColor="text1"/>
          <w:lang w:eastAsia="fr-FR"/>
        </w:rPr>
        <w:t>fournissent</w:t>
      </w:r>
      <w:r w:rsidR="00737496" w:rsidRPr="00915B33">
        <w:rPr>
          <w:rFonts w:ascii="Times New Roman" w:hAnsi="Times New Roman" w:cs="Times New Roman"/>
          <w:color w:val="000000" w:themeColor="text1"/>
          <w:lang w:eastAsia="fr-FR"/>
        </w:rPr>
        <w:t xml:space="preserve"> souvent que des données </w:t>
      </w:r>
      <w:r w:rsidR="00A519A6" w:rsidRPr="00915B33">
        <w:rPr>
          <w:rFonts w:ascii="Times New Roman" w:hAnsi="Times New Roman" w:cs="Times New Roman"/>
          <w:color w:val="000000" w:themeColor="text1"/>
          <w:lang w:eastAsia="fr-FR"/>
        </w:rPr>
        <w:t>fragmentaires</w:t>
      </w:r>
      <w:r w:rsidR="001C5C47" w:rsidRPr="00915B33">
        <w:rPr>
          <w:rFonts w:ascii="Times New Roman" w:hAnsi="Times New Roman" w:cs="Times New Roman"/>
          <w:color w:val="000000" w:themeColor="text1"/>
          <w:lang w:eastAsia="fr-FR"/>
        </w:rPr>
        <w:t xml:space="preserve">, </w:t>
      </w:r>
      <w:r w:rsidRPr="00915B33">
        <w:rPr>
          <w:rFonts w:ascii="Times New Roman" w:hAnsi="Times New Roman" w:cs="Times New Roman"/>
          <w:color w:val="000000" w:themeColor="text1"/>
          <w:lang w:eastAsia="fr-FR"/>
        </w:rPr>
        <w:t>accroissant ainsi les incertitudes</w:t>
      </w:r>
      <w:r w:rsidR="001C5C47" w:rsidRPr="00915B33">
        <w:rPr>
          <w:rFonts w:ascii="Times New Roman" w:hAnsi="Times New Roman" w:cs="Times New Roman"/>
          <w:color w:val="000000" w:themeColor="text1"/>
          <w:lang w:eastAsia="fr-FR"/>
        </w:rPr>
        <w:t xml:space="preserve"> de calculs</w:t>
      </w:r>
      <w:r w:rsidRPr="00915B33">
        <w:rPr>
          <w:rFonts w:ascii="Times New Roman" w:hAnsi="Times New Roman" w:cs="Times New Roman"/>
          <w:color w:val="000000" w:themeColor="text1"/>
          <w:lang w:eastAsia="fr-FR"/>
        </w:rPr>
        <w:t>.</w:t>
      </w:r>
    </w:p>
    <w:p w14:paraId="3DB74F2F" w14:textId="3FA7EA08" w:rsidR="00F27423" w:rsidRPr="00915B33" w:rsidRDefault="00F27423" w:rsidP="00B02B7B">
      <w:pPr>
        <w:spacing w:line="360" w:lineRule="auto"/>
        <w:jc w:val="both"/>
        <w:rPr>
          <w:rFonts w:ascii="Times New Roman" w:hAnsi="Times New Roman" w:cs="Times New Roman"/>
          <w:color w:val="000000" w:themeColor="text1"/>
          <w:lang w:eastAsia="fr-FR"/>
        </w:rPr>
      </w:pPr>
      <w:r w:rsidRPr="00915B33">
        <w:rPr>
          <w:rFonts w:ascii="Times New Roman" w:hAnsi="Times New Roman" w:cs="Times New Roman"/>
          <w:color w:val="000000" w:themeColor="text1"/>
          <w:lang w:eastAsia="fr-FR"/>
        </w:rPr>
        <w:t xml:space="preserve">Parmi les incertitudes relatives à l’estimation </w:t>
      </w:r>
      <w:r w:rsidR="0092023D" w:rsidRPr="00915B33">
        <w:rPr>
          <w:rFonts w:ascii="Times New Roman" w:hAnsi="Times New Roman" w:cs="Times New Roman"/>
          <w:color w:val="000000" w:themeColor="text1"/>
          <w:lang w:eastAsia="fr-FR"/>
        </w:rPr>
        <w:t>des émissions de COVNM</w:t>
      </w:r>
      <w:r w:rsidRPr="00915B33">
        <w:rPr>
          <w:rFonts w:ascii="Times New Roman" w:hAnsi="Times New Roman" w:cs="Times New Roman"/>
          <w:color w:val="000000" w:themeColor="text1"/>
          <w:lang w:eastAsia="fr-FR"/>
        </w:rPr>
        <w:t>, les LD du GIEC recommandent de tenir compte des connaissances encore limité</w:t>
      </w:r>
      <w:r w:rsidR="0092023D" w:rsidRPr="00915B33">
        <w:rPr>
          <w:rFonts w:ascii="Times New Roman" w:hAnsi="Times New Roman" w:cs="Times New Roman"/>
          <w:color w:val="000000" w:themeColor="text1"/>
          <w:lang w:eastAsia="fr-FR"/>
        </w:rPr>
        <w:t>e</w:t>
      </w:r>
      <w:r w:rsidRPr="00915B33">
        <w:rPr>
          <w:rFonts w:ascii="Times New Roman" w:hAnsi="Times New Roman" w:cs="Times New Roman"/>
          <w:color w:val="000000" w:themeColor="text1"/>
          <w:lang w:eastAsia="fr-FR"/>
        </w:rPr>
        <w:t>s des taux d’oxydation (OPU) et du coefficient de contenu carbonique des lubri</w:t>
      </w:r>
      <w:r w:rsidR="008172B2" w:rsidRPr="00915B33">
        <w:rPr>
          <w:rFonts w:ascii="Times New Roman" w:hAnsi="Times New Roman" w:cs="Times New Roman"/>
          <w:color w:val="000000" w:themeColor="text1"/>
          <w:lang w:eastAsia="fr-FR"/>
        </w:rPr>
        <w:t>fi</w:t>
      </w:r>
      <w:r w:rsidRPr="00915B33">
        <w:rPr>
          <w:rFonts w:ascii="Times New Roman" w:hAnsi="Times New Roman" w:cs="Times New Roman"/>
          <w:color w:val="000000" w:themeColor="text1"/>
          <w:lang w:eastAsia="fr-FR"/>
        </w:rPr>
        <w:t>ants. Concernant le premier paramètre l’opinion d’expert suggère de considérer une imprécision de l’ordre de 50%, tandis que pour le second facteur</w:t>
      </w:r>
      <w:r w:rsidR="007E31B8">
        <w:rPr>
          <w:rFonts w:ascii="Times New Roman" w:hAnsi="Times New Roman" w:cs="Times New Roman"/>
          <w:color w:val="000000" w:themeColor="text1"/>
          <w:lang w:eastAsia="fr-FR"/>
        </w:rPr>
        <w:t>,</w:t>
      </w:r>
      <w:r w:rsidRPr="00915B33">
        <w:rPr>
          <w:rFonts w:ascii="Times New Roman" w:hAnsi="Times New Roman" w:cs="Times New Roman"/>
          <w:color w:val="000000" w:themeColor="text1"/>
          <w:lang w:eastAsia="fr-FR"/>
        </w:rPr>
        <w:t xml:space="preserve"> l’Agence de Protection des Etats-Unis estime l’incertitude à 3%.</w:t>
      </w:r>
    </w:p>
    <w:p w14:paraId="21AF901A" w14:textId="77777777" w:rsidR="00F27423" w:rsidRPr="00EE7F4C" w:rsidRDefault="00F27423" w:rsidP="00BC2557">
      <w:pPr>
        <w:pStyle w:val="Sous-titre"/>
        <w:numPr>
          <w:ilvl w:val="0"/>
          <w:numId w:val="28"/>
        </w:numPr>
        <w:outlineLvl w:val="2"/>
        <w:rPr>
          <w:lang w:eastAsia="fr-FR"/>
        </w:rPr>
      </w:pPr>
      <w:bookmarkStart w:id="70" w:name="_Toc157935491"/>
      <w:r w:rsidRPr="00EE7F4C">
        <w:rPr>
          <w:lang w:eastAsia="fr-FR"/>
        </w:rPr>
        <w:t>Assurance et contrôle qualité</w:t>
      </w:r>
      <w:bookmarkEnd w:id="70"/>
      <w:r w:rsidRPr="00EE7F4C">
        <w:rPr>
          <w:lang w:eastAsia="fr-FR"/>
        </w:rPr>
        <w:t xml:space="preserve"> </w:t>
      </w:r>
    </w:p>
    <w:p w14:paraId="6738041E" w14:textId="77777777"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lang w:eastAsia="fr-FR"/>
        </w:rPr>
        <w:t>Les importations de lubrifiants sont répertoriées dans la base de données de la douane (SYDONIA) qui offre ainsi les possibilités de vérification nécessaires.</w:t>
      </w:r>
    </w:p>
    <w:p w14:paraId="6B02E875" w14:textId="210522EC" w:rsidR="00F27423" w:rsidRPr="00947FBA" w:rsidRDefault="00F27423" w:rsidP="00BC2557">
      <w:pPr>
        <w:pStyle w:val="Sous-titre"/>
        <w:numPr>
          <w:ilvl w:val="0"/>
          <w:numId w:val="27"/>
        </w:numPr>
        <w:outlineLvl w:val="2"/>
      </w:pPr>
      <w:bookmarkStart w:id="71" w:name="_Toc489388314"/>
      <w:bookmarkStart w:id="72" w:name="_Toc157935492"/>
      <w:r w:rsidRPr="00947FBA">
        <w:t>Émissions de COVNM liées à l’usage d’asphalte</w:t>
      </w:r>
      <w:bookmarkEnd w:id="71"/>
      <w:bookmarkEnd w:id="72"/>
    </w:p>
    <w:p w14:paraId="699CD07B" w14:textId="77777777"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Il est établi que les COVNM émanant de l’usage de l’asphalte finissent par s’oxyder en CO</w:t>
      </w:r>
      <w:r w:rsidRPr="00915B33">
        <w:rPr>
          <w:rFonts w:ascii="Times New Roman" w:hAnsi="Times New Roman" w:cs="Times New Roman"/>
          <w:color w:val="000000" w:themeColor="text1"/>
          <w:vertAlign w:val="subscript"/>
        </w:rPr>
        <w:t>2</w:t>
      </w:r>
      <w:r w:rsidRPr="00915B33">
        <w:rPr>
          <w:rFonts w:ascii="Times New Roman" w:hAnsi="Times New Roman" w:cs="Times New Roman"/>
          <w:color w:val="000000" w:themeColor="text1"/>
        </w:rPr>
        <w:t>. L’estimation des émissions de COVNM est calculée à l’aide d’un facteur d’émission par défaut équivalent</w:t>
      </w:r>
      <w:r w:rsidR="0092023D" w:rsidRPr="00915B33">
        <w:rPr>
          <w:rFonts w:ascii="Times New Roman" w:hAnsi="Times New Roman" w:cs="Times New Roman"/>
          <w:color w:val="000000" w:themeColor="text1"/>
        </w:rPr>
        <w:t xml:space="preserve"> à</w:t>
      </w:r>
      <w:r w:rsidRPr="00915B33">
        <w:rPr>
          <w:rFonts w:ascii="Times New Roman" w:hAnsi="Times New Roman" w:cs="Times New Roman"/>
          <w:color w:val="000000" w:themeColor="text1"/>
        </w:rPr>
        <w:t xml:space="preserve"> 320 kg par tonne d’asphalte. Quant à l’évaluation des émissions en équivalent de CO</w:t>
      </w:r>
      <w:r w:rsidRPr="00915B33">
        <w:rPr>
          <w:rFonts w:ascii="Times New Roman" w:hAnsi="Times New Roman" w:cs="Times New Roman"/>
          <w:color w:val="000000" w:themeColor="text1"/>
          <w:vertAlign w:val="subscript"/>
        </w:rPr>
        <w:t>2</w:t>
      </w:r>
      <w:r w:rsidRPr="00915B33">
        <w:rPr>
          <w:rFonts w:ascii="Times New Roman" w:hAnsi="Times New Roman" w:cs="Times New Roman"/>
          <w:color w:val="000000" w:themeColor="text1"/>
        </w:rPr>
        <w:t xml:space="preserve"> qui en résultent, elle est obtenue en fonction de la fraction de carbone contenue des COVNM qui est une constante estimée à 0,6, et du rapport massique du CO2/C (44/12). </w:t>
      </w:r>
    </w:p>
    <w:p w14:paraId="3FF6E1D0" w14:textId="77777777" w:rsidR="00F27423" w:rsidRPr="00915B33" w:rsidRDefault="00F27423">
      <w:pPr>
        <w:spacing w:before="240" w:line="240" w:lineRule="auto"/>
        <w:jc w:val="both"/>
        <w:rPr>
          <w:rFonts w:ascii="Times New Roman" w:hAnsi="Times New Roman" w:cs="Times New Roman"/>
          <w:color w:val="000000" w:themeColor="text1"/>
          <w:sz w:val="20"/>
          <w:szCs w:val="20"/>
        </w:rPr>
      </w:pPr>
      <w:r w:rsidRPr="00915B33">
        <w:rPr>
          <w:rFonts w:ascii="Times New Roman" w:hAnsi="Times New Roman" w:cs="Times New Roman"/>
          <w:color w:val="000000" w:themeColor="text1"/>
        </w:rPr>
        <w:t xml:space="preserve">Émissions de COVNM= quantité d’asphalte utilisée * 320 kg/tonne </w:t>
      </w:r>
    </w:p>
    <w:p w14:paraId="7D41CE50" w14:textId="1688C456" w:rsidR="00F27423" w:rsidRPr="00915B33" w:rsidRDefault="00F27423">
      <w:pPr>
        <w:spacing w:before="240" w:line="240" w:lineRule="auto"/>
        <w:jc w:val="both"/>
        <w:rPr>
          <w:rFonts w:ascii="Times New Roman" w:hAnsi="Times New Roman" w:cs="Times New Roman"/>
          <w:color w:val="000000" w:themeColor="text1"/>
          <w:sz w:val="20"/>
          <w:szCs w:val="20"/>
        </w:rPr>
      </w:pPr>
      <w:r w:rsidRPr="00915B33">
        <w:rPr>
          <w:rFonts w:ascii="Times New Roman" w:hAnsi="Times New Roman" w:cs="Times New Roman"/>
          <w:color w:val="000000" w:themeColor="text1"/>
          <w:sz w:val="20"/>
          <w:szCs w:val="20"/>
        </w:rPr>
        <w:t>Entrées CO</w:t>
      </w:r>
      <w:r w:rsidRPr="00915B33">
        <w:rPr>
          <w:rFonts w:ascii="Times New Roman" w:hAnsi="Times New Roman" w:cs="Times New Roman"/>
          <w:color w:val="000000" w:themeColor="text1"/>
          <w:sz w:val="20"/>
          <w:szCs w:val="20"/>
          <w:vertAlign w:val="subscript"/>
        </w:rPr>
        <w:t>2</w:t>
      </w:r>
      <w:r w:rsidRPr="00915B33">
        <w:rPr>
          <w:rFonts w:ascii="Times New Roman" w:hAnsi="Times New Roman" w:cs="Times New Roman"/>
          <w:color w:val="000000" w:themeColor="text1"/>
          <w:sz w:val="20"/>
          <w:szCs w:val="20"/>
        </w:rPr>
        <w:t xml:space="preserve"> = Émissions</w:t>
      </w:r>
      <w:r w:rsidR="00371814">
        <w:rPr>
          <w:rFonts w:ascii="Times New Roman" w:hAnsi="Times New Roman" w:cs="Times New Roman"/>
          <w:color w:val="000000" w:themeColor="text1"/>
          <w:sz w:val="20"/>
          <w:szCs w:val="20"/>
        </w:rPr>
        <w:t xml:space="preserve"> </w:t>
      </w:r>
      <w:r w:rsidRPr="00915B33">
        <w:rPr>
          <w:rFonts w:ascii="Times New Roman" w:hAnsi="Times New Roman" w:cs="Times New Roman"/>
          <w:color w:val="000000" w:themeColor="text1"/>
          <w:sz w:val="20"/>
          <w:szCs w:val="20"/>
        </w:rPr>
        <w:t>COVNM * C * 44/12</w:t>
      </w:r>
    </w:p>
    <w:p w14:paraId="6094C686" w14:textId="77777777" w:rsidR="00F27423" w:rsidRPr="00915B33" w:rsidRDefault="00F27423">
      <w:pPr>
        <w:spacing w:before="240" w:line="240" w:lineRule="auto"/>
        <w:jc w:val="both"/>
        <w:rPr>
          <w:rFonts w:ascii="Times New Roman" w:hAnsi="Times New Roman" w:cs="Times New Roman"/>
          <w:color w:val="000000" w:themeColor="text1"/>
          <w:sz w:val="20"/>
          <w:szCs w:val="20"/>
        </w:rPr>
      </w:pPr>
      <w:r w:rsidRPr="00915B33">
        <w:rPr>
          <w:rFonts w:ascii="Times New Roman" w:hAnsi="Times New Roman" w:cs="Times New Roman"/>
          <w:color w:val="000000" w:themeColor="text1"/>
          <w:sz w:val="20"/>
          <w:szCs w:val="20"/>
        </w:rPr>
        <w:t>Où :</w:t>
      </w:r>
    </w:p>
    <w:p w14:paraId="4690FF6F" w14:textId="77777777" w:rsidR="00F27423" w:rsidRPr="00915B33" w:rsidRDefault="00F27423">
      <w:pPr>
        <w:spacing w:before="240" w:line="240" w:lineRule="auto"/>
        <w:ind w:firstLine="708"/>
        <w:jc w:val="both"/>
        <w:rPr>
          <w:rFonts w:ascii="Times New Roman" w:hAnsi="Times New Roman" w:cs="Times New Roman"/>
          <w:color w:val="000000" w:themeColor="text1"/>
        </w:rPr>
      </w:pPr>
      <w:r w:rsidRPr="00915B33">
        <w:rPr>
          <w:rFonts w:ascii="Times New Roman" w:hAnsi="Times New Roman" w:cs="Times New Roman"/>
          <w:color w:val="000000" w:themeColor="text1"/>
          <w:sz w:val="20"/>
          <w:szCs w:val="20"/>
        </w:rPr>
        <w:t>C : est la fraction de carbone dans les COVNM, égale à 0,6 (valeur par défaut)</w:t>
      </w:r>
    </w:p>
    <w:p w14:paraId="43A42FB9" w14:textId="77777777" w:rsidR="00F27423" w:rsidRPr="00915B33" w:rsidRDefault="00F27423">
      <w:pPr>
        <w:ind w:firstLine="708"/>
        <w:jc w:val="both"/>
        <w:rPr>
          <w:rFonts w:ascii="Times New Roman" w:hAnsi="Times New Roman" w:cs="Times New Roman"/>
          <w:color w:val="000000" w:themeColor="text1"/>
        </w:rPr>
      </w:pPr>
      <w:r w:rsidRPr="00915B33">
        <w:rPr>
          <w:rFonts w:ascii="Times New Roman" w:hAnsi="Times New Roman" w:cs="Times New Roman"/>
          <w:color w:val="000000" w:themeColor="text1"/>
        </w:rPr>
        <w:t>44/12 : rapport massique du CO2/C</w:t>
      </w:r>
    </w:p>
    <w:p w14:paraId="0CC7A35A" w14:textId="77777777" w:rsidR="00F27423" w:rsidRPr="00EE7F4C" w:rsidRDefault="00F27423" w:rsidP="00BC2557">
      <w:pPr>
        <w:pStyle w:val="Sous-titre"/>
        <w:numPr>
          <w:ilvl w:val="0"/>
          <w:numId w:val="28"/>
        </w:numPr>
        <w:outlineLvl w:val="2"/>
        <w:rPr>
          <w:lang w:eastAsia="fr-FR"/>
        </w:rPr>
      </w:pPr>
      <w:bookmarkStart w:id="73" w:name="_Toc157935493"/>
      <w:r w:rsidRPr="00EE7F4C">
        <w:rPr>
          <w:lang w:eastAsia="fr-FR"/>
        </w:rPr>
        <w:t>Incertitudes</w:t>
      </w:r>
      <w:bookmarkEnd w:id="73"/>
    </w:p>
    <w:p w14:paraId="61D270AF" w14:textId="72569244"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Plusieurs incertitudes caractérisent les données relatives aux calculs des émissions de</w:t>
      </w:r>
      <w:r w:rsidR="000D5696" w:rsidRPr="00915B33">
        <w:rPr>
          <w:rFonts w:ascii="Times New Roman" w:hAnsi="Times New Roman" w:cs="Times New Roman"/>
          <w:color w:val="000000" w:themeColor="text1"/>
        </w:rPr>
        <w:t xml:space="preserve"> gaz à effet de serre</w:t>
      </w:r>
      <w:r w:rsidRPr="00915B33">
        <w:rPr>
          <w:rFonts w:ascii="Times New Roman" w:hAnsi="Times New Roman" w:cs="Times New Roman"/>
          <w:color w:val="000000" w:themeColor="text1"/>
        </w:rPr>
        <w:t xml:space="preserve"> </w:t>
      </w:r>
      <w:r w:rsidR="000D5696" w:rsidRPr="00915B33">
        <w:rPr>
          <w:rFonts w:ascii="Times New Roman" w:hAnsi="Times New Roman" w:cs="Times New Roman"/>
          <w:color w:val="000000" w:themeColor="text1"/>
        </w:rPr>
        <w:t>dégagées par l’usage</w:t>
      </w:r>
      <w:r w:rsidRPr="00915B33">
        <w:rPr>
          <w:rFonts w:ascii="Times New Roman" w:hAnsi="Times New Roman" w:cs="Times New Roman"/>
          <w:color w:val="000000" w:themeColor="text1"/>
        </w:rPr>
        <w:t xml:space="preserve"> de l’asphalte. Elles concernent en premier la fiabilité des données portant sur la construction des routes inhérente à la multitude des sources et aux difficultés de les centraliser. Elles touchent aussi à la répartition des usages de l’asphalte. Dans ce contexte les LD 2006 préconisent un intervalle de [+ 25% ; -25%] et même de [-100% ; +25%] « si le calcul n’a pas été basé sur des données détaillées sur les activités et sur la technologie de contrôle. ».</w:t>
      </w:r>
    </w:p>
    <w:p w14:paraId="6139E43B" w14:textId="77777777" w:rsidR="006E4FE6" w:rsidRPr="00915B33" w:rsidRDefault="006E4FE6" w:rsidP="00B02B7B">
      <w:pPr>
        <w:spacing w:line="360" w:lineRule="auto"/>
        <w:jc w:val="both"/>
        <w:rPr>
          <w:rFonts w:ascii="Times New Roman" w:eastAsia="Calibri" w:hAnsi="Times New Roman" w:cs="Times New Roman"/>
          <w:b/>
          <w:color w:val="000000" w:themeColor="text1"/>
          <w:sz w:val="24"/>
        </w:rPr>
      </w:pPr>
      <w:r w:rsidRPr="00915B33">
        <w:rPr>
          <w:rFonts w:ascii="Times New Roman" w:hAnsi="Times New Roman" w:cs="Times New Roman"/>
          <w:color w:val="000000" w:themeColor="text1"/>
        </w:rPr>
        <w:t>Les données fournies par SYDONIA sont la seule source</w:t>
      </w:r>
      <w:r w:rsidR="009A7E7F" w:rsidRPr="00915B33">
        <w:rPr>
          <w:rFonts w:ascii="Times New Roman" w:hAnsi="Times New Roman" w:cs="Times New Roman"/>
          <w:color w:val="000000" w:themeColor="text1"/>
        </w:rPr>
        <w:t xml:space="preserve"> des données utilisées</w:t>
      </w:r>
      <w:r w:rsidRPr="00915B33">
        <w:rPr>
          <w:rFonts w:ascii="Times New Roman" w:hAnsi="Times New Roman" w:cs="Times New Roman"/>
          <w:color w:val="000000" w:themeColor="text1"/>
        </w:rPr>
        <w:t xml:space="preserve"> pour calculer les émissions de COVNM.</w:t>
      </w:r>
    </w:p>
    <w:p w14:paraId="04F5928A" w14:textId="77777777" w:rsidR="00F27423" w:rsidRPr="00EE7F4C" w:rsidRDefault="00F27423" w:rsidP="00BC2557">
      <w:pPr>
        <w:pStyle w:val="Sous-titre"/>
        <w:numPr>
          <w:ilvl w:val="0"/>
          <w:numId w:val="28"/>
        </w:numPr>
        <w:outlineLvl w:val="2"/>
        <w:rPr>
          <w:lang w:eastAsia="fr-FR"/>
        </w:rPr>
      </w:pPr>
      <w:bookmarkStart w:id="74" w:name="_Toc157935494"/>
      <w:r w:rsidRPr="00EE7F4C">
        <w:rPr>
          <w:lang w:eastAsia="fr-FR"/>
        </w:rPr>
        <w:t>Assurance et contrôle qualité</w:t>
      </w:r>
      <w:bookmarkEnd w:id="74"/>
    </w:p>
    <w:p w14:paraId="5C036936" w14:textId="27A829AA"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Compte tenu des nombreuses incertitudes entourant la disponibilité de l’information détaillée des usages de l’asphalte et la quantification des émissions (rejet, récupération et brûlage), le recours aux importations fournies par la base de données de la douane demeure une alternative crédible, car il s’</w:t>
      </w:r>
      <w:r w:rsidR="00461682" w:rsidRPr="00915B33">
        <w:rPr>
          <w:rFonts w:ascii="Times New Roman" w:hAnsi="Times New Roman" w:cs="Times New Roman"/>
          <w:color w:val="000000" w:themeColor="text1"/>
        </w:rPr>
        <w:t>agit là</w:t>
      </w:r>
      <w:r w:rsidRPr="00915B33">
        <w:rPr>
          <w:rFonts w:ascii="Times New Roman" w:hAnsi="Times New Roman" w:cs="Times New Roman"/>
          <w:color w:val="000000" w:themeColor="text1"/>
        </w:rPr>
        <w:t xml:space="preserve"> de chiffres vérifiables et sécurisés.</w:t>
      </w:r>
    </w:p>
    <w:p w14:paraId="795323B0" w14:textId="037E4A33" w:rsidR="00D55EBC" w:rsidRPr="00947FBA" w:rsidRDefault="00D55EBC" w:rsidP="00BC2557">
      <w:pPr>
        <w:pStyle w:val="Sous-titre"/>
        <w:numPr>
          <w:ilvl w:val="0"/>
          <w:numId w:val="27"/>
        </w:numPr>
        <w:outlineLvl w:val="2"/>
      </w:pPr>
      <w:bookmarkStart w:id="75" w:name="_Toc157935495"/>
      <w:r w:rsidRPr="00947FBA">
        <w:t>Evolutions comparées des émissions de CO2 et COVNM</w:t>
      </w:r>
      <w:bookmarkEnd w:id="75"/>
    </w:p>
    <w:p w14:paraId="06F07D81" w14:textId="22198015" w:rsidR="00D55EBC" w:rsidRPr="00915B33" w:rsidRDefault="00D55EBC" w:rsidP="00B02B7B">
      <w:pPr>
        <w:tabs>
          <w:tab w:val="left" w:pos="2141"/>
        </w:tabs>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Le graphique ci-dessous montre une évolution comparée des émissions de CO</w:t>
      </w:r>
      <w:r w:rsidRPr="00915B33">
        <w:rPr>
          <w:rFonts w:ascii="Times New Roman" w:hAnsi="Times New Roman" w:cs="Times New Roman"/>
          <w:color w:val="000000" w:themeColor="text1"/>
          <w:kern w:val="22"/>
          <w:vertAlign w:val="subscript"/>
        </w:rPr>
        <w:t>2</w:t>
      </w:r>
      <w:r w:rsidRPr="00915B33">
        <w:rPr>
          <w:rFonts w:ascii="Times New Roman" w:hAnsi="Times New Roman" w:cs="Times New Roman"/>
          <w:color w:val="000000" w:themeColor="text1"/>
        </w:rPr>
        <w:t xml:space="preserve"> émanant des lubrifiants et du ferroalliage. Ces deux sources d’émissions sont marquées par des tendances opposées durant la série temporelle 1990-2022. En 2001, lorsque la SAFA met fin à la production de ferroalliage, les émissions subissent une baisse de 82% par rapport à l’année </w:t>
      </w:r>
      <w:r w:rsidR="00371814" w:rsidRPr="00915B33">
        <w:rPr>
          <w:rFonts w:ascii="Times New Roman" w:hAnsi="Times New Roman" w:cs="Times New Roman"/>
          <w:color w:val="000000" w:themeColor="text1"/>
        </w:rPr>
        <w:t>précédente</w:t>
      </w:r>
      <w:r w:rsidRPr="00915B33">
        <w:rPr>
          <w:rFonts w:ascii="Times New Roman" w:hAnsi="Times New Roman" w:cs="Times New Roman"/>
          <w:color w:val="000000" w:themeColor="text1"/>
        </w:rPr>
        <w:t>. On note cependant que les écarts d’</w:t>
      </w:r>
      <w:r w:rsidR="00371814" w:rsidRPr="00915B33">
        <w:rPr>
          <w:rFonts w:ascii="Times New Roman" w:hAnsi="Times New Roman" w:cs="Times New Roman"/>
          <w:color w:val="000000" w:themeColor="text1"/>
        </w:rPr>
        <w:t>émissions</w:t>
      </w:r>
      <w:r w:rsidRPr="00915B33">
        <w:rPr>
          <w:rFonts w:ascii="Times New Roman" w:hAnsi="Times New Roman" w:cs="Times New Roman"/>
          <w:color w:val="000000" w:themeColor="text1"/>
        </w:rPr>
        <w:t xml:space="preserve"> d’une année à l’autre durant la décennie 1990 ne sont pas différentes de ceux observés durant les décennies 2000 et 2010. Quant aux </w:t>
      </w:r>
      <w:r w:rsidR="00371814" w:rsidRPr="00915B33">
        <w:rPr>
          <w:rFonts w:ascii="Times New Roman" w:hAnsi="Times New Roman" w:cs="Times New Roman"/>
          <w:color w:val="000000" w:themeColor="text1"/>
        </w:rPr>
        <w:t>émissions</w:t>
      </w:r>
      <w:r w:rsidRPr="00915B33">
        <w:rPr>
          <w:rFonts w:ascii="Times New Roman" w:hAnsi="Times New Roman" w:cs="Times New Roman"/>
          <w:color w:val="000000" w:themeColor="text1"/>
        </w:rPr>
        <w:t xml:space="preserve"> de lubrifiants, elles sont marquées par une tendance caractérisée par une hausse substantielle.</w:t>
      </w:r>
    </w:p>
    <w:p w14:paraId="530B754F" w14:textId="77777777" w:rsidR="00D55EBC" w:rsidRPr="00915B33" w:rsidRDefault="00D55EBC" w:rsidP="00D55EBC">
      <w:pPr>
        <w:tabs>
          <w:tab w:val="left" w:pos="2141"/>
        </w:tabs>
        <w:jc w:val="center"/>
        <w:rPr>
          <w:rFonts w:ascii="Times New Roman" w:hAnsi="Times New Roman" w:cs="Times New Roman"/>
          <w:b/>
          <w:color w:val="000000" w:themeColor="text1"/>
        </w:rPr>
      </w:pPr>
      <w:r w:rsidRPr="00915B33">
        <w:rPr>
          <w:noProof/>
          <w:color w:val="000000" w:themeColor="text1"/>
        </w:rPr>
        <w:drawing>
          <wp:inline distT="0" distB="0" distL="0" distR="0" wp14:anchorId="13FAB164" wp14:editId="2DE2A284">
            <wp:extent cx="5760720" cy="2962910"/>
            <wp:effectExtent l="0" t="0" r="0" b="0"/>
            <wp:docPr id="13" name="Graphique 13">
              <a:extLst xmlns:a="http://schemas.openxmlformats.org/drawingml/2006/main">
                <a:ext uri="{FF2B5EF4-FFF2-40B4-BE49-F238E27FC236}">
                  <a16:creationId xmlns:a16="http://schemas.microsoft.com/office/drawing/2014/main" id="{AC860984-7F26-356A-DB35-07B66801B4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2FF44DA" w14:textId="290D81C4" w:rsidR="00D55EBC" w:rsidRPr="00915B33" w:rsidRDefault="00D55EBC" w:rsidP="005F1EE9">
      <w:pPr>
        <w:tabs>
          <w:tab w:val="left" w:pos="2141"/>
        </w:tabs>
        <w:jc w:val="center"/>
        <w:rPr>
          <w:rFonts w:ascii="Times New Roman" w:hAnsi="Times New Roman" w:cs="Times New Roman"/>
          <w:color w:val="000000" w:themeColor="text1"/>
        </w:rPr>
      </w:pPr>
      <w:r w:rsidRPr="00915B33">
        <w:rPr>
          <w:rFonts w:ascii="Times New Roman" w:hAnsi="Times New Roman" w:cs="Times New Roman"/>
          <w:b/>
          <w:color w:val="000000" w:themeColor="text1"/>
        </w:rPr>
        <w:t xml:space="preserve">Graphique </w:t>
      </w:r>
      <w:r w:rsidR="003F1589" w:rsidRPr="00915B33">
        <w:rPr>
          <w:rFonts w:ascii="Times New Roman" w:hAnsi="Times New Roman" w:cs="Times New Roman"/>
          <w:b/>
          <w:color w:val="000000" w:themeColor="text1"/>
        </w:rPr>
        <w:t>11</w:t>
      </w:r>
      <w:r w:rsidRPr="00915B33">
        <w:rPr>
          <w:rFonts w:ascii="Times New Roman" w:hAnsi="Times New Roman" w:cs="Times New Roman"/>
          <w:b/>
          <w:color w:val="000000" w:themeColor="text1"/>
        </w:rPr>
        <w:t xml:space="preserve"> : </w:t>
      </w:r>
      <w:r w:rsidRPr="00915B33">
        <w:rPr>
          <w:rFonts w:ascii="Times New Roman" w:hAnsi="Times New Roman" w:cs="Times New Roman"/>
          <w:bCs/>
          <w:color w:val="000000" w:themeColor="text1"/>
        </w:rPr>
        <w:t>Évolutions comparées des émissions annuelles de</w:t>
      </w:r>
      <w:r w:rsidR="005F1EE9" w:rsidRPr="00915B33">
        <w:rPr>
          <w:rFonts w:ascii="Times New Roman" w:hAnsi="Times New Roman" w:cs="Times New Roman"/>
          <w:bCs/>
          <w:color w:val="000000" w:themeColor="text1"/>
        </w:rPr>
        <w:t xml:space="preserve"> CO</w:t>
      </w:r>
      <w:r w:rsidR="005F1EE9" w:rsidRPr="00915B33">
        <w:rPr>
          <w:rFonts w:ascii="Times New Roman" w:hAnsi="Times New Roman" w:cs="Times New Roman"/>
          <w:bCs/>
          <w:color w:val="000000" w:themeColor="text1"/>
          <w:kern w:val="22"/>
          <w:vertAlign w:val="subscript"/>
        </w:rPr>
        <w:t>2</w:t>
      </w:r>
      <w:r w:rsidR="005F1EE9" w:rsidRPr="00915B33">
        <w:rPr>
          <w:rFonts w:ascii="Times New Roman" w:hAnsi="Times New Roman" w:cs="Times New Roman"/>
          <w:bCs/>
          <w:color w:val="000000" w:themeColor="text1"/>
        </w:rPr>
        <w:t xml:space="preserve"> et de COVNM </w:t>
      </w:r>
      <w:r w:rsidR="00E748C7" w:rsidRPr="00915B33">
        <w:rPr>
          <w:rFonts w:ascii="Times New Roman" w:hAnsi="Times New Roman" w:cs="Times New Roman"/>
          <w:bCs/>
          <w:color w:val="000000" w:themeColor="text1"/>
        </w:rPr>
        <w:t>de</w:t>
      </w:r>
      <w:r w:rsidR="005F1EE9" w:rsidRPr="00915B33">
        <w:rPr>
          <w:rFonts w:ascii="Times New Roman" w:hAnsi="Times New Roman" w:cs="Times New Roman"/>
          <w:bCs/>
          <w:color w:val="000000" w:themeColor="text1"/>
        </w:rPr>
        <w:t xml:space="preserve"> 1990 et 2022</w:t>
      </w:r>
    </w:p>
    <w:p w14:paraId="665A2F28" w14:textId="00BF6CAB" w:rsidR="00F27423" w:rsidRPr="00947FBA" w:rsidRDefault="00F27423" w:rsidP="00BC2557">
      <w:pPr>
        <w:pStyle w:val="Sous-titre"/>
        <w:numPr>
          <w:ilvl w:val="0"/>
          <w:numId w:val="27"/>
        </w:numPr>
        <w:outlineLvl w:val="1"/>
      </w:pPr>
      <w:bookmarkStart w:id="76" w:name="_Toc489388315"/>
      <w:bookmarkStart w:id="77" w:name="_Toc157935496"/>
      <w:r w:rsidRPr="00947FBA">
        <w:t>Émissions dues à l’utilisation de produits substituts de SAO</w:t>
      </w:r>
      <w:bookmarkEnd w:id="76"/>
      <w:bookmarkEnd w:id="77"/>
    </w:p>
    <w:p w14:paraId="2CD00140" w14:textId="69929586"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Il n’a pas été possible d’obtenir les données d’importation des produits substituts de SAO des dernières années. Après consultation</w:t>
      </w:r>
      <w:r w:rsidR="00A12FD2" w:rsidRPr="00915B33">
        <w:rPr>
          <w:rFonts w:ascii="Times New Roman" w:hAnsi="Times New Roman" w:cs="Times New Roman"/>
          <w:color w:val="000000" w:themeColor="text1"/>
        </w:rPr>
        <w:t xml:space="preserve">, </w:t>
      </w:r>
      <w:r w:rsidRPr="00915B33">
        <w:rPr>
          <w:rFonts w:ascii="Times New Roman" w:hAnsi="Times New Roman" w:cs="Times New Roman"/>
          <w:color w:val="000000" w:themeColor="text1"/>
        </w:rPr>
        <w:t>il a été convenu de retenir que les importations annuelles sont restées constantes depuis le dernier inventaire.</w:t>
      </w:r>
    </w:p>
    <w:p w14:paraId="42CCC76C" w14:textId="3CD7EB0C"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Les </w:t>
      </w:r>
      <w:r w:rsidR="00A12FD2" w:rsidRPr="00915B33">
        <w:rPr>
          <w:rFonts w:ascii="Times New Roman" w:hAnsi="Times New Roman" w:cs="Times New Roman"/>
          <w:color w:val="000000" w:themeColor="text1"/>
        </w:rPr>
        <w:t xml:space="preserve">lignes directrices </w:t>
      </w:r>
      <w:r w:rsidRPr="00915B33">
        <w:rPr>
          <w:rFonts w:ascii="Times New Roman" w:hAnsi="Times New Roman" w:cs="Times New Roman"/>
          <w:color w:val="000000" w:themeColor="text1"/>
        </w:rPr>
        <w:t>2006 du GIEC pr</w:t>
      </w:r>
      <w:r w:rsidR="00A12FD2" w:rsidRPr="00915B33">
        <w:rPr>
          <w:rFonts w:ascii="Times New Roman" w:hAnsi="Times New Roman" w:cs="Times New Roman"/>
          <w:color w:val="000000" w:themeColor="text1"/>
        </w:rPr>
        <w:t>éconise</w:t>
      </w:r>
      <w:r w:rsidRPr="00915B33">
        <w:rPr>
          <w:rFonts w:ascii="Times New Roman" w:hAnsi="Times New Roman" w:cs="Times New Roman"/>
          <w:color w:val="000000" w:themeColor="text1"/>
        </w:rPr>
        <w:t>, pour la méthode de calcul de niveau, un facteur d’émission par défaut de 15%, correspondant au stock dans le pays</w:t>
      </w:r>
      <w:r w:rsidR="0092023D" w:rsidRPr="00915B33">
        <w:rPr>
          <w:rFonts w:ascii="Times New Roman" w:hAnsi="Times New Roman" w:cs="Times New Roman"/>
          <w:color w:val="000000" w:themeColor="text1"/>
        </w:rPr>
        <w:t>.</w:t>
      </w:r>
    </w:p>
    <w:p w14:paraId="450B458A" w14:textId="77777777"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Les émissions sont calculées uniquement sur la base des informations disponibles sur les importations de HFC 134a.   </w:t>
      </w:r>
    </w:p>
    <w:p w14:paraId="5C7787A9" w14:textId="77777777" w:rsidR="00F27423" w:rsidRPr="00EE7F4C" w:rsidRDefault="00F27423" w:rsidP="00BC2557">
      <w:pPr>
        <w:pStyle w:val="Sous-titre"/>
        <w:numPr>
          <w:ilvl w:val="0"/>
          <w:numId w:val="28"/>
        </w:numPr>
        <w:outlineLvl w:val="2"/>
        <w:rPr>
          <w:lang w:eastAsia="fr-FR"/>
        </w:rPr>
      </w:pPr>
      <w:bookmarkStart w:id="78" w:name="_Toc157935497"/>
      <w:r w:rsidRPr="00EE7F4C">
        <w:rPr>
          <w:lang w:eastAsia="fr-FR"/>
        </w:rPr>
        <w:t>Incertitudes</w:t>
      </w:r>
      <w:bookmarkEnd w:id="78"/>
    </w:p>
    <w:p w14:paraId="709C5800" w14:textId="77777777"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Les incertitudes sont de ±20% sur les données d’activité et entre ±50% pour les facteurs d’émission. Il existe des incertitudes liées aux difficultés d’avoir une bonne connaissance de la banque de stocks d’équipements du pays, quelle que soit</w:t>
      </w:r>
      <w:r w:rsidR="0092023D" w:rsidRPr="00915B33">
        <w:rPr>
          <w:rFonts w:ascii="Times New Roman" w:hAnsi="Times New Roman" w:cs="Times New Roman"/>
          <w:color w:val="000000" w:themeColor="text1"/>
        </w:rPr>
        <w:t>,</w:t>
      </w:r>
      <w:r w:rsidRPr="00915B33">
        <w:rPr>
          <w:rFonts w:ascii="Times New Roman" w:hAnsi="Times New Roman" w:cs="Times New Roman"/>
          <w:color w:val="000000" w:themeColor="text1"/>
        </w:rPr>
        <w:t xml:space="preserve"> par ailleurs</w:t>
      </w:r>
      <w:r w:rsidR="0092023D" w:rsidRPr="00915B33">
        <w:rPr>
          <w:rFonts w:ascii="Times New Roman" w:hAnsi="Times New Roman" w:cs="Times New Roman"/>
          <w:color w:val="000000" w:themeColor="text1"/>
        </w:rPr>
        <w:t>,</w:t>
      </w:r>
      <w:r w:rsidRPr="00915B33">
        <w:rPr>
          <w:rFonts w:ascii="Times New Roman" w:hAnsi="Times New Roman" w:cs="Times New Roman"/>
          <w:color w:val="000000" w:themeColor="text1"/>
        </w:rPr>
        <w:t xml:space="preserve"> la fiabilité de la principale source de données des importations de HFC, en l’occurrence SYDONIA.</w:t>
      </w:r>
    </w:p>
    <w:p w14:paraId="38E8F0A3" w14:textId="77777777" w:rsidR="00F27423" w:rsidRPr="00EE7F4C" w:rsidRDefault="00F27423" w:rsidP="00BC2557">
      <w:pPr>
        <w:pStyle w:val="Sous-titre"/>
        <w:numPr>
          <w:ilvl w:val="0"/>
          <w:numId w:val="28"/>
        </w:numPr>
        <w:outlineLvl w:val="2"/>
        <w:rPr>
          <w:lang w:eastAsia="fr-FR"/>
        </w:rPr>
      </w:pPr>
      <w:bookmarkStart w:id="79" w:name="_Toc157935498"/>
      <w:r w:rsidRPr="00EE7F4C">
        <w:rPr>
          <w:lang w:eastAsia="fr-FR"/>
        </w:rPr>
        <w:t>Assurance et contrôle qualité</w:t>
      </w:r>
      <w:bookmarkEnd w:id="79"/>
    </w:p>
    <w:p w14:paraId="5B6461C6" w14:textId="77777777" w:rsidR="00F27423" w:rsidRPr="00915B33" w:rsidRDefault="00F27423" w:rsidP="00B02B7B">
      <w:pPr>
        <w:spacing w:line="360" w:lineRule="auto"/>
        <w:jc w:val="both"/>
        <w:rPr>
          <w:rFonts w:ascii="Times New Roman" w:hAnsi="Times New Roman" w:cs="Times New Roman"/>
          <w:color w:val="000000" w:themeColor="text1"/>
        </w:rPr>
      </w:pPr>
      <w:r w:rsidRPr="00915B33">
        <w:rPr>
          <w:rFonts w:ascii="Times New Roman" w:hAnsi="Times New Roman" w:cs="Times New Roman"/>
          <w:color w:val="000000" w:themeColor="text1"/>
        </w:rPr>
        <w:t xml:space="preserve">Les données ont été considérées avec la vérification assurée par les gestionnaires de SYDONIA qui est la principale source des importations des produits réfrigérants. </w:t>
      </w:r>
    </w:p>
    <w:p w14:paraId="3507CA7D" w14:textId="275C38DD" w:rsidR="00F27423" w:rsidRPr="00915B33" w:rsidRDefault="00F27423" w:rsidP="00BC2557">
      <w:pPr>
        <w:pStyle w:val="Grandtitre"/>
        <w:outlineLvl w:val="0"/>
        <w:rPr>
          <w:bCs/>
        </w:rPr>
      </w:pPr>
      <w:bookmarkStart w:id="80" w:name="_Toc489388316"/>
      <w:bookmarkStart w:id="81" w:name="_Toc157935499"/>
      <w:r w:rsidRPr="002D2666">
        <w:t>Conclusion</w:t>
      </w:r>
      <w:bookmarkEnd w:id="80"/>
      <w:bookmarkEnd w:id="81"/>
    </w:p>
    <w:p w14:paraId="48E1C4B1" w14:textId="667C70B9" w:rsidR="009453FF" w:rsidRPr="00915B33" w:rsidRDefault="00F27423" w:rsidP="00B02B7B">
      <w:pPr>
        <w:spacing w:line="360" w:lineRule="auto"/>
        <w:jc w:val="both"/>
        <w:rPr>
          <w:rFonts w:ascii="Times New Roman" w:hAnsi="Times New Roman" w:cs="Times New Roman"/>
          <w:bCs/>
          <w:color w:val="000000" w:themeColor="text1"/>
        </w:rPr>
      </w:pPr>
      <w:r w:rsidRPr="00915B33">
        <w:rPr>
          <w:rFonts w:ascii="Times New Roman" w:hAnsi="Times New Roman" w:cs="Times New Roman"/>
          <w:bCs/>
          <w:color w:val="000000" w:themeColor="text1"/>
        </w:rPr>
        <w:t>L</w:t>
      </w:r>
      <w:r w:rsidR="00C32643" w:rsidRPr="00915B33">
        <w:rPr>
          <w:rFonts w:ascii="Times New Roman" w:hAnsi="Times New Roman" w:cs="Times New Roman"/>
          <w:bCs/>
          <w:color w:val="000000" w:themeColor="text1"/>
        </w:rPr>
        <w:t>a situation de l’industrie mauritanienne n’a pas beaucoup changé depuis le dernier inventaire. L’</w:t>
      </w:r>
      <w:r w:rsidR="00371814" w:rsidRPr="00915B33">
        <w:rPr>
          <w:rFonts w:ascii="Times New Roman" w:hAnsi="Times New Roman" w:cs="Times New Roman"/>
          <w:bCs/>
          <w:color w:val="000000" w:themeColor="text1"/>
        </w:rPr>
        <w:t>intervalle</w:t>
      </w:r>
      <w:r w:rsidR="00C32643" w:rsidRPr="00915B33">
        <w:rPr>
          <w:rFonts w:ascii="Times New Roman" w:hAnsi="Times New Roman" w:cs="Times New Roman"/>
          <w:bCs/>
          <w:color w:val="000000" w:themeColor="text1"/>
        </w:rPr>
        <w:t xml:space="preserve"> de temps a été marqué par la crise de covid-19 dont a pâti l’économie mauritanienne</w:t>
      </w:r>
      <w:r w:rsidR="009453FF" w:rsidRPr="00915B33">
        <w:rPr>
          <w:rFonts w:ascii="Times New Roman" w:hAnsi="Times New Roman" w:cs="Times New Roman"/>
          <w:bCs/>
          <w:color w:val="000000" w:themeColor="text1"/>
        </w:rPr>
        <w:t xml:space="preserve"> à l’instar de celle des autres pays du monde. </w:t>
      </w:r>
    </w:p>
    <w:p w14:paraId="4708D3B8" w14:textId="77777777" w:rsidR="004D78CC" w:rsidRPr="00915B33" w:rsidRDefault="000A51ED" w:rsidP="00B02B7B">
      <w:pPr>
        <w:spacing w:line="360" w:lineRule="auto"/>
        <w:jc w:val="both"/>
        <w:rPr>
          <w:rFonts w:ascii="Times New Roman" w:hAnsi="Times New Roman" w:cs="Times New Roman"/>
          <w:bCs/>
          <w:color w:val="000000" w:themeColor="text1"/>
        </w:rPr>
      </w:pPr>
      <w:r w:rsidRPr="00915B33">
        <w:rPr>
          <w:rFonts w:ascii="Times New Roman" w:hAnsi="Times New Roman" w:cs="Times New Roman"/>
          <w:bCs/>
          <w:color w:val="000000" w:themeColor="text1"/>
        </w:rPr>
        <w:t xml:space="preserve">Le </w:t>
      </w:r>
      <w:r w:rsidR="00F27423" w:rsidRPr="00915B33">
        <w:rPr>
          <w:rFonts w:ascii="Times New Roman" w:hAnsi="Times New Roman" w:cs="Times New Roman"/>
          <w:bCs/>
          <w:color w:val="000000" w:themeColor="text1"/>
        </w:rPr>
        <w:t>secteur industriel</w:t>
      </w:r>
      <w:r w:rsidR="00EE1EF6" w:rsidRPr="00915B33">
        <w:rPr>
          <w:rFonts w:ascii="Times New Roman" w:hAnsi="Times New Roman" w:cs="Times New Roman"/>
          <w:bCs/>
          <w:color w:val="000000" w:themeColor="text1"/>
        </w:rPr>
        <w:t xml:space="preserve">, encore embryonnaire, </w:t>
      </w:r>
      <w:r w:rsidRPr="00915B33">
        <w:rPr>
          <w:rFonts w:ascii="Times New Roman" w:hAnsi="Times New Roman" w:cs="Times New Roman"/>
          <w:bCs/>
          <w:color w:val="000000" w:themeColor="text1"/>
        </w:rPr>
        <w:t xml:space="preserve">demeure dominé par </w:t>
      </w:r>
      <w:r w:rsidR="00EE1EF6" w:rsidRPr="00915B33">
        <w:rPr>
          <w:rFonts w:ascii="Times New Roman" w:hAnsi="Times New Roman" w:cs="Times New Roman"/>
          <w:bCs/>
          <w:color w:val="000000" w:themeColor="text1"/>
        </w:rPr>
        <w:t>l’industrie extractive des richesses minières du sous-sol du pays dont la production est destinée au pays du Nord.</w:t>
      </w:r>
      <w:r w:rsidR="000A0C1C" w:rsidRPr="00915B33">
        <w:rPr>
          <w:rFonts w:ascii="Times New Roman" w:hAnsi="Times New Roman" w:cs="Times New Roman"/>
          <w:bCs/>
          <w:color w:val="000000" w:themeColor="text1"/>
        </w:rPr>
        <w:t xml:space="preserve"> L’éclosion des unités industriel</w:t>
      </w:r>
      <w:r w:rsidR="004D78CC" w:rsidRPr="00915B33">
        <w:rPr>
          <w:rFonts w:ascii="Times New Roman" w:hAnsi="Times New Roman" w:cs="Times New Roman"/>
          <w:bCs/>
          <w:color w:val="000000" w:themeColor="text1"/>
        </w:rPr>
        <w:t>l</w:t>
      </w:r>
      <w:r w:rsidR="000A0C1C" w:rsidRPr="00915B33">
        <w:rPr>
          <w:rFonts w:ascii="Times New Roman" w:hAnsi="Times New Roman" w:cs="Times New Roman"/>
          <w:bCs/>
          <w:color w:val="000000" w:themeColor="text1"/>
        </w:rPr>
        <w:t xml:space="preserve">es </w:t>
      </w:r>
      <w:r w:rsidR="004D78CC" w:rsidRPr="00915B33">
        <w:rPr>
          <w:rFonts w:ascii="Times New Roman" w:hAnsi="Times New Roman" w:cs="Times New Roman"/>
          <w:bCs/>
          <w:color w:val="000000" w:themeColor="text1"/>
        </w:rPr>
        <w:t xml:space="preserve">et la survie de celles déjà existantes </w:t>
      </w:r>
      <w:r w:rsidR="000A0C1C" w:rsidRPr="00915B33">
        <w:rPr>
          <w:rFonts w:ascii="Times New Roman" w:hAnsi="Times New Roman" w:cs="Times New Roman"/>
          <w:bCs/>
          <w:color w:val="000000" w:themeColor="text1"/>
        </w:rPr>
        <w:t xml:space="preserve">est freinée par de nombreux obstacles d’ordre structurel auxquels s’ajoutent </w:t>
      </w:r>
      <w:r w:rsidR="004D78CC" w:rsidRPr="00915B33">
        <w:rPr>
          <w:rFonts w:ascii="Times New Roman" w:hAnsi="Times New Roman" w:cs="Times New Roman"/>
          <w:bCs/>
          <w:color w:val="000000" w:themeColor="text1"/>
        </w:rPr>
        <w:t xml:space="preserve">des facteurs exogènes liées à globalisation de l’économie mondiale marquée par une concurrence féroce des produits importés. </w:t>
      </w:r>
    </w:p>
    <w:p w14:paraId="06EFE3EC" w14:textId="5F157E0C" w:rsidR="0092023D" w:rsidRPr="00915B33" w:rsidRDefault="00494926" w:rsidP="00B02B7B">
      <w:pPr>
        <w:spacing w:line="360" w:lineRule="auto"/>
        <w:jc w:val="both"/>
        <w:rPr>
          <w:rFonts w:ascii="Times New Roman" w:hAnsi="Times New Roman" w:cs="Times New Roman"/>
          <w:bCs/>
          <w:color w:val="000000" w:themeColor="text1"/>
        </w:rPr>
      </w:pPr>
      <w:r w:rsidRPr="00915B33">
        <w:rPr>
          <w:rFonts w:ascii="Times New Roman" w:hAnsi="Times New Roman" w:cs="Times New Roman"/>
          <w:bCs/>
          <w:color w:val="000000" w:themeColor="text1"/>
        </w:rPr>
        <w:t xml:space="preserve">Dans ce contexte d’une industrie largement </w:t>
      </w:r>
      <w:r w:rsidR="00F27423" w:rsidRPr="00915B33">
        <w:rPr>
          <w:rFonts w:ascii="Times New Roman" w:hAnsi="Times New Roman" w:cs="Times New Roman"/>
          <w:bCs/>
          <w:color w:val="000000" w:themeColor="text1"/>
        </w:rPr>
        <w:t>caractérisé</w:t>
      </w:r>
      <w:r w:rsidRPr="00915B33">
        <w:rPr>
          <w:rFonts w:ascii="Times New Roman" w:hAnsi="Times New Roman" w:cs="Times New Roman"/>
          <w:bCs/>
          <w:color w:val="000000" w:themeColor="text1"/>
        </w:rPr>
        <w:t>e</w:t>
      </w:r>
      <w:r w:rsidR="00F27423" w:rsidRPr="00915B33">
        <w:rPr>
          <w:rFonts w:ascii="Times New Roman" w:hAnsi="Times New Roman" w:cs="Times New Roman"/>
          <w:bCs/>
          <w:color w:val="000000" w:themeColor="text1"/>
        </w:rPr>
        <w:t xml:space="preserve"> par l’importation de produits finis</w:t>
      </w:r>
      <w:r w:rsidR="009C2258" w:rsidRPr="00915B33">
        <w:rPr>
          <w:rFonts w:ascii="Times New Roman" w:hAnsi="Times New Roman" w:cs="Times New Roman"/>
          <w:bCs/>
          <w:color w:val="000000" w:themeColor="text1"/>
        </w:rPr>
        <w:t xml:space="preserve"> ou semi-finis</w:t>
      </w:r>
      <w:r w:rsidRPr="00915B33">
        <w:rPr>
          <w:rFonts w:ascii="Times New Roman" w:hAnsi="Times New Roman" w:cs="Times New Roman"/>
          <w:bCs/>
          <w:color w:val="000000" w:themeColor="text1"/>
        </w:rPr>
        <w:t xml:space="preserve">, la contribution du secteur des PIUP aux </w:t>
      </w:r>
      <w:r w:rsidR="00371814" w:rsidRPr="00915B33">
        <w:rPr>
          <w:rFonts w:ascii="Times New Roman" w:hAnsi="Times New Roman" w:cs="Times New Roman"/>
          <w:bCs/>
          <w:color w:val="000000" w:themeColor="text1"/>
        </w:rPr>
        <w:t>émissions</w:t>
      </w:r>
      <w:r w:rsidRPr="00915B33">
        <w:rPr>
          <w:rFonts w:ascii="Times New Roman" w:hAnsi="Times New Roman" w:cs="Times New Roman"/>
          <w:bCs/>
          <w:color w:val="000000" w:themeColor="text1"/>
        </w:rPr>
        <w:t xml:space="preserve"> nationales de gaz à effet de serre reste marginale. </w:t>
      </w:r>
      <w:r w:rsidR="00385406" w:rsidRPr="00915B33">
        <w:rPr>
          <w:rFonts w:ascii="Times New Roman" w:hAnsi="Times New Roman" w:cs="Times New Roman"/>
          <w:bCs/>
          <w:color w:val="000000" w:themeColor="text1"/>
        </w:rPr>
        <w:t>En effet, il résulte de c</w:t>
      </w:r>
      <w:r w:rsidR="009C2258" w:rsidRPr="00915B33">
        <w:rPr>
          <w:rFonts w:ascii="Times New Roman" w:hAnsi="Times New Roman" w:cs="Times New Roman"/>
          <w:bCs/>
          <w:color w:val="000000" w:themeColor="text1"/>
        </w:rPr>
        <w:t xml:space="preserve">ette situation </w:t>
      </w:r>
      <w:r w:rsidR="00385406" w:rsidRPr="00915B33">
        <w:rPr>
          <w:rFonts w:ascii="Times New Roman" w:hAnsi="Times New Roman" w:cs="Times New Roman"/>
          <w:bCs/>
          <w:color w:val="000000" w:themeColor="text1"/>
        </w:rPr>
        <w:t xml:space="preserve">que </w:t>
      </w:r>
      <w:r w:rsidR="00F27423" w:rsidRPr="00915B33">
        <w:rPr>
          <w:rFonts w:ascii="Times New Roman" w:hAnsi="Times New Roman" w:cs="Times New Roman"/>
          <w:bCs/>
          <w:color w:val="000000" w:themeColor="text1"/>
        </w:rPr>
        <w:t>les processus de fabrication</w:t>
      </w:r>
      <w:r w:rsidR="008621D1" w:rsidRPr="00915B33">
        <w:rPr>
          <w:rFonts w:ascii="Times New Roman" w:hAnsi="Times New Roman" w:cs="Times New Roman"/>
          <w:bCs/>
          <w:color w:val="000000" w:themeColor="text1"/>
        </w:rPr>
        <w:t xml:space="preserve"> des produits </w:t>
      </w:r>
      <w:r w:rsidR="00F27423" w:rsidRPr="00915B33">
        <w:rPr>
          <w:rFonts w:ascii="Times New Roman" w:hAnsi="Times New Roman" w:cs="Times New Roman"/>
          <w:bCs/>
          <w:color w:val="000000" w:themeColor="text1"/>
        </w:rPr>
        <w:t>générateur</w:t>
      </w:r>
      <w:r w:rsidR="0092023D" w:rsidRPr="00915B33">
        <w:rPr>
          <w:rFonts w:ascii="Times New Roman" w:hAnsi="Times New Roman" w:cs="Times New Roman"/>
          <w:bCs/>
          <w:color w:val="000000" w:themeColor="text1"/>
        </w:rPr>
        <w:t>s</w:t>
      </w:r>
      <w:r w:rsidR="00F27423" w:rsidRPr="00915B33">
        <w:rPr>
          <w:rFonts w:ascii="Times New Roman" w:hAnsi="Times New Roman" w:cs="Times New Roman"/>
          <w:bCs/>
          <w:color w:val="000000" w:themeColor="text1"/>
        </w:rPr>
        <w:t xml:space="preserve"> de rejets de GES</w:t>
      </w:r>
      <w:r w:rsidR="0092023D" w:rsidRPr="00915B33">
        <w:rPr>
          <w:rFonts w:ascii="Times New Roman" w:hAnsi="Times New Roman" w:cs="Times New Roman"/>
          <w:bCs/>
          <w:color w:val="000000" w:themeColor="text1"/>
        </w:rPr>
        <w:t>,</w:t>
      </w:r>
      <w:r w:rsidR="00F27423" w:rsidRPr="00915B33">
        <w:rPr>
          <w:rFonts w:ascii="Times New Roman" w:hAnsi="Times New Roman" w:cs="Times New Roman"/>
          <w:bCs/>
          <w:color w:val="000000" w:themeColor="text1"/>
        </w:rPr>
        <w:t xml:space="preserve"> se déroulent dans les pays d’importation.</w:t>
      </w:r>
      <w:r w:rsidR="00EB16B3" w:rsidRPr="00915B33">
        <w:rPr>
          <w:rFonts w:ascii="Times New Roman" w:hAnsi="Times New Roman" w:cs="Times New Roman"/>
          <w:bCs/>
          <w:color w:val="000000" w:themeColor="text1"/>
        </w:rPr>
        <w:t xml:space="preserve"> Il n’en demeure pas moins qu’un </w:t>
      </w:r>
      <w:r w:rsidR="00863B91" w:rsidRPr="00915B33">
        <w:rPr>
          <w:rFonts w:ascii="Times New Roman" w:hAnsi="Times New Roman" w:cs="Times New Roman"/>
          <w:bCs/>
          <w:color w:val="000000" w:themeColor="text1"/>
        </w:rPr>
        <w:t>certain nombre</w:t>
      </w:r>
      <w:r w:rsidR="00EB16B3" w:rsidRPr="00915B33">
        <w:rPr>
          <w:rFonts w:ascii="Times New Roman" w:hAnsi="Times New Roman" w:cs="Times New Roman"/>
          <w:bCs/>
          <w:color w:val="000000" w:themeColor="text1"/>
        </w:rPr>
        <w:t xml:space="preserve"> d’unités engendrent durant leur production</w:t>
      </w:r>
      <w:r w:rsidR="00682973" w:rsidRPr="00915B33">
        <w:rPr>
          <w:rFonts w:ascii="Times New Roman" w:hAnsi="Times New Roman" w:cs="Times New Roman"/>
          <w:bCs/>
          <w:color w:val="000000" w:themeColor="text1"/>
        </w:rPr>
        <w:t xml:space="preserve"> des émissions. L’augmentation de la demande en ciment, par exemple, illustrée par l’installation de nouveaux opérateurs et la croissance </w:t>
      </w:r>
      <w:r w:rsidR="00C44574" w:rsidRPr="00915B33">
        <w:rPr>
          <w:rFonts w:ascii="Times New Roman" w:hAnsi="Times New Roman" w:cs="Times New Roman"/>
          <w:bCs/>
          <w:color w:val="000000" w:themeColor="text1"/>
        </w:rPr>
        <w:t>substantielle</w:t>
      </w:r>
      <w:r w:rsidR="00682973" w:rsidRPr="00915B33">
        <w:rPr>
          <w:rFonts w:ascii="Times New Roman" w:hAnsi="Times New Roman" w:cs="Times New Roman"/>
          <w:bCs/>
          <w:color w:val="000000" w:themeColor="text1"/>
        </w:rPr>
        <w:t xml:space="preserve"> de la production, en est la preuve.</w:t>
      </w:r>
    </w:p>
    <w:p w14:paraId="07913656" w14:textId="32BDDFA4" w:rsidR="00F27423" w:rsidRPr="00915B33" w:rsidRDefault="00F27423" w:rsidP="00B02B7B">
      <w:pPr>
        <w:spacing w:line="360" w:lineRule="auto"/>
        <w:jc w:val="both"/>
        <w:rPr>
          <w:rFonts w:ascii="Times New Roman" w:hAnsi="Times New Roman" w:cs="Times New Roman"/>
          <w:bCs/>
          <w:color w:val="000000" w:themeColor="text1"/>
        </w:rPr>
      </w:pPr>
      <w:r w:rsidRPr="00915B33">
        <w:rPr>
          <w:rFonts w:ascii="Times New Roman" w:hAnsi="Times New Roman" w:cs="Times New Roman"/>
          <w:bCs/>
          <w:color w:val="000000" w:themeColor="text1"/>
        </w:rPr>
        <w:t xml:space="preserve">Sur le plan méthodologique, les niveaux </w:t>
      </w:r>
      <w:r w:rsidR="003B0964" w:rsidRPr="00915B33">
        <w:rPr>
          <w:rFonts w:ascii="Times New Roman" w:hAnsi="Times New Roman" w:cs="Times New Roman"/>
          <w:bCs/>
          <w:color w:val="000000" w:themeColor="text1"/>
        </w:rPr>
        <w:t xml:space="preserve">méthodologiques </w:t>
      </w:r>
      <w:r w:rsidRPr="00915B33">
        <w:rPr>
          <w:rFonts w:ascii="Times New Roman" w:hAnsi="Times New Roman" w:cs="Times New Roman"/>
          <w:bCs/>
          <w:color w:val="000000" w:themeColor="text1"/>
        </w:rPr>
        <w:t xml:space="preserve">de </w:t>
      </w:r>
      <w:r w:rsidR="009E22FC" w:rsidRPr="00915B33">
        <w:rPr>
          <w:rFonts w:ascii="Times New Roman" w:hAnsi="Times New Roman" w:cs="Times New Roman"/>
          <w:bCs/>
          <w:color w:val="000000" w:themeColor="text1"/>
        </w:rPr>
        <w:t>calcul</w:t>
      </w:r>
      <w:r w:rsidRPr="00915B33">
        <w:rPr>
          <w:rFonts w:ascii="Times New Roman" w:hAnsi="Times New Roman" w:cs="Times New Roman"/>
          <w:bCs/>
          <w:color w:val="000000" w:themeColor="text1"/>
        </w:rPr>
        <w:t xml:space="preserve"> des émissions </w:t>
      </w:r>
      <w:r w:rsidR="009E22FC" w:rsidRPr="00915B33">
        <w:rPr>
          <w:rFonts w:ascii="Times New Roman" w:hAnsi="Times New Roman" w:cs="Times New Roman"/>
          <w:bCs/>
          <w:color w:val="000000" w:themeColor="text1"/>
        </w:rPr>
        <w:t xml:space="preserve">s’appuie sur </w:t>
      </w:r>
      <w:r w:rsidRPr="00915B33">
        <w:rPr>
          <w:rFonts w:ascii="Times New Roman" w:hAnsi="Times New Roman" w:cs="Times New Roman"/>
          <w:bCs/>
          <w:color w:val="000000" w:themeColor="text1"/>
        </w:rPr>
        <w:t>le recours aux paramètres par défaut</w:t>
      </w:r>
      <w:r w:rsidR="005F26E1" w:rsidRPr="00915B33">
        <w:rPr>
          <w:rFonts w:ascii="Times New Roman" w:hAnsi="Times New Roman" w:cs="Times New Roman"/>
          <w:bCs/>
          <w:color w:val="000000" w:themeColor="text1"/>
        </w:rPr>
        <w:t xml:space="preserve"> du GIEC</w:t>
      </w:r>
      <w:r w:rsidRPr="00915B33">
        <w:rPr>
          <w:rFonts w:ascii="Times New Roman" w:hAnsi="Times New Roman" w:cs="Times New Roman"/>
          <w:bCs/>
          <w:color w:val="000000" w:themeColor="text1"/>
        </w:rPr>
        <w:t>.</w:t>
      </w:r>
      <w:r w:rsidR="009E22FC" w:rsidRPr="00915B33">
        <w:rPr>
          <w:rFonts w:ascii="Times New Roman" w:hAnsi="Times New Roman" w:cs="Times New Roman"/>
          <w:bCs/>
          <w:color w:val="000000" w:themeColor="text1"/>
        </w:rPr>
        <w:t xml:space="preserve"> </w:t>
      </w:r>
      <w:r w:rsidR="008F00A7" w:rsidRPr="00915B33">
        <w:rPr>
          <w:rFonts w:ascii="Times New Roman" w:hAnsi="Times New Roman" w:cs="Times New Roman"/>
          <w:bCs/>
          <w:color w:val="000000" w:themeColor="text1"/>
        </w:rPr>
        <w:t xml:space="preserve">Les calculs effectués concernent les productions de ferroalliage et de ciment ainsi que l’utilisation de COVNM. </w:t>
      </w:r>
      <w:r w:rsidRPr="00915B33">
        <w:rPr>
          <w:rFonts w:ascii="Times New Roman" w:hAnsi="Times New Roman" w:cs="Times New Roman"/>
          <w:bCs/>
          <w:color w:val="000000" w:themeColor="text1"/>
        </w:rPr>
        <w:t>La contribution du secteur des P</w:t>
      </w:r>
      <w:r w:rsidR="005F26E1" w:rsidRPr="00915B33">
        <w:rPr>
          <w:rFonts w:ascii="Times New Roman" w:hAnsi="Times New Roman" w:cs="Times New Roman"/>
          <w:bCs/>
          <w:color w:val="000000" w:themeColor="text1"/>
        </w:rPr>
        <w:t>IUP aux émissions de GES en 20</w:t>
      </w:r>
      <w:r w:rsidR="00BC062C" w:rsidRPr="00915B33">
        <w:rPr>
          <w:rFonts w:ascii="Times New Roman" w:hAnsi="Times New Roman" w:cs="Times New Roman"/>
          <w:bCs/>
          <w:color w:val="000000" w:themeColor="text1"/>
        </w:rPr>
        <w:t>22</w:t>
      </w:r>
      <w:r w:rsidRPr="00915B33">
        <w:rPr>
          <w:rFonts w:ascii="Times New Roman" w:hAnsi="Times New Roman" w:cs="Times New Roman"/>
          <w:bCs/>
          <w:color w:val="000000" w:themeColor="text1"/>
        </w:rPr>
        <w:t xml:space="preserve"> est conforme aux tendances observées lors des inventaires précédents. </w:t>
      </w:r>
    </w:p>
    <w:p w14:paraId="538BD010" w14:textId="1EF680C0" w:rsidR="004D5AA8" w:rsidRPr="00915B33" w:rsidRDefault="00BC062C" w:rsidP="00B02B7B">
      <w:pPr>
        <w:spacing w:line="360" w:lineRule="auto"/>
        <w:jc w:val="both"/>
        <w:rPr>
          <w:rFonts w:ascii="Times New Roman" w:hAnsi="Times New Roman" w:cs="Times New Roman"/>
          <w:bCs/>
          <w:color w:val="000000" w:themeColor="text1"/>
        </w:rPr>
      </w:pPr>
      <w:r w:rsidRPr="00915B33">
        <w:rPr>
          <w:rFonts w:ascii="Times New Roman" w:hAnsi="Times New Roman" w:cs="Times New Roman"/>
          <w:bCs/>
          <w:color w:val="000000" w:themeColor="text1"/>
        </w:rPr>
        <w:t xml:space="preserve">Plusieurs </w:t>
      </w:r>
      <w:r w:rsidR="008A246D" w:rsidRPr="00915B33">
        <w:rPr>
          <w:rFonts w:ascii="Times New Roman" w:hAnsi="Times New Roman" w:cs="Times New Roman"/>
          <w:bCs/>
          <w:color w:val="000000" w:themeColor="text1"/>
        </w:rPr>
        <w:t xml:space="preserve">incertitudes </w:t>
      </w:r>
      <w:r w:rsidRPr="00915B33">
        <w:rPr>
          <w:rFonts w:ascii="Times New Roman" w:hAnsi="Times New Roman" w:cs="Times New Roman"/>
          <w:bCs/>
          <w:color w:val="000000" w:themeColor="text1"/>
        </w:rPr>
        <w:t xml:space="preserve">continuent de </w:t>
      </w:r>
      <w:r w:rsidR="00371814" w:rsidRPr="00915B33">
        <w:rPr>
          <w:rFonts w:ascii="Times New Roman" w:hAnsi="Times New Roman" w:cs="Times New Roman"/>
          <w:bCs/>
          <w:color w:val="000000" w:themeColor="text1"/>
        </w:rPr>
        <w:t>caractériser</w:t>
      </w:r>
      <w:r w:rsidRPr="00915B33">
        <w:rPr>
          <w:rFonts w:ascii="Times New Roman" w:hAnsi="Times New Roman" w:cs="Times New Roman"/>
          <w:bCs/>
          <w:color w:val="000000" w:themeColor="text1"/>
        </w:rPr>
        <w:t xml:space="preserve"> </w:t>
      </w:r>
      <w:r w:rsidR="008F1BCD" w:rsidRPr="00915B33">
        <w:rPr>
          <w:rFonts w:ascii="Times New Roman" w:hAnsi="Times New Roman" w:cs="Times New Roman"/>
          <w:bCs/>
          <w:color w:val="000000" w:themeColor="text1"/>
        </w:rPr>
        <w:t>l</w:t>
      </w:r>
      <w:r w:rsidR="008517C0" w:rsidRPr="00915B33">
        <w:rPr>
          <w:rFonts w:ascii="Times New Roman" w:hAnsi="Times New Roman" w:cs="Times New Roman"/>
          <w:bCs/>
          <w:color w:val="000000" w:themeColor="text1"/>
        </w:rPr>
        <w:t xml:space="preserve">’inventaire des émissions du </w:t>
      </w:r>
      <w:r w:rsidR="008F1BCD" w:rsidRPr="00915B33">
        <w:rPr>
          <w:rFonts w:ascii="Times New Roman" w:hAnsi="Times New Roman" w:cs="Times New Roman"/>
          <w:bCs/>
          <w:color w:val="000000" w:themeColor="text1"/>
        </w:rPr>
        <w:t>secteur des PIUP</w:t>
      </w:r>
      <w:r w:rsidRPr="00915B33">
        <w:rPr>
          <w:rFonts w:ascii="Times New Roman" w:hAnsi="Times New Roman" w:cs="Times New Roman"/>
          <w:bCs/>
          <w:color w:val="000000" w:themeColor="text1"/>
        </w:rPr>
        <w:t xml:space="preserve">, en raison des difficultés d’accès aux données malgré les efforts entrepris par la Cellule de coordination de l’inventaire national et la démarche explicative et de transparence déployée par le chargé de collecte de ce </w:t>
      </w:r>
      <w:r w:rsidR="00371814" w:rsidRPr="00915B33">
        <w:rPr>
          <w:rFonts w:ascii="Times New Roman" w:hAnsi="Times New Roman" w:cs="Times New Roman"/>
          <w:bCs/>
          <w:color w:val="000000" w:themeColor="text1"/>
        </w:rPr>
        <w:t>secteur</w:t>
      </w:r>
      <w:r w:rsidR="008517C0" w:rsidRPr="00915B33">
        <w:rPr>
          <w:rFonts w:ascii="Times New Roman" w:hAnsi="Times New Roman" w:cs="Times New Roman"/>
          <w:bCs/>
          <w:color w:val="000000" w:themeColor="text1"/>
        </w:rPr>
        <w:t xml:space="preserve">. </w:t>
      </w:r>
      <w:r w:rsidR="004D5AA8" w:rsidRPr="00915B33">
        <w:rPr>
          <w:rFonts w:ascii="Times New Roman" w:hAnsi="Times New Roman" w:cs="Times New Roman"/>
          <w:bCs/>
          <w:color w:val="000000" w:themeColor="text1"/>
        </w:rPr>
        <w:t xml:space="preserve">Les entreprises font preuve de peu d’ouverture pour l’accès à leurs données. </w:t>
      </w:r>
    </w:p>
    <w:p w14:paraId="59876D64" w14:textId="011803B9" w:rsidR="00596FA9" w:rsidRPr="00915B33" w:rsidRDefault="004D5AA8" w:rsidP="00B02B7B">
      <w:pPr>
        <w:spacing w:line="360" w:lineRule="auto"/>
        <w:jc w:val="both"/>
        <w:rPr>
          <w:rFonts w:ascii="Times New Roman" w:hAnsi="Times New Roman" w:cs="Times New Roman"/>
          <w:bCs/>
          <w:color w:val="000000" w:themeColor="text1"/>
        </w:rPr>
      </w:pPr>
      <w:r w:rsidRPr="00915B33">
        <w:rPr>
          <w:rFonts w:ascii="Times New Roman" w:hAnsi="Times New Roman" w:cs="Times New Roman"/>
          <w:bCs/>
          <w:color w:val="000000" w:themeColor="text1"/>
        </w:rPr>
        <w:t xml:space="preserve">C’est pourquoi, comme par le passé il est essentiel de travailler à lever les obstacles mentionnés. Dans cette perspective, les </w:t>
      </w:r>
      <w:r w:rsidR="00C44574" w:rsidRPr="00915B33">
        <w:rPr>
          <w:rFonts w:ascii="Times New Roman" w:hAnsi="Times New Roman" w:cs="Times New Roman"/>
          <w:bCs/>
          <w:color w:val="000000" w:themeColor="text1"/>
        </w:rPr>
        <w:t>recommandations</w:t>
      </w:r>
      <w:r w:rsidR="00596FA9" w:rsidRPr="00915B33">
        <w:rPr>
          <w:rFonts w:ascii="Times New Roman" w:hAnsi="Times New Roman" w:cs="Times New Roman"/>
          <w:bCs/>
          <w:color w:val="000000" w:themeColor="text1"/>
        </w:rPr>
        <w:t xml:space="preserve"> </w:t>
      </w:r>
      <w:r w:rsidRPr="00915B33">
        <w:rPr>
          <w:rFonts w:ascii="Times New Roman" w:hAnsi="Times New Roman" w:cs="Times New Roman"/>
          <w:bCs/>
          <w:color w:val="000000" w:themeColor="text1"/>
        </w:rPr>
        <w:t>suivantes semblent à prendre en compte :</w:t>
      </w:r>
    </w:p>
    <w:p w14:paraId="5576720B" w14:textId="799ADD9F" w:rsidR="004D5AA8" w:rsidRPr="00915B33" w:rsidRDefault="004D5AA8" w:rsidP="00B02B7B">
      <w:pPr>
        <w:pStyle w:val="Paragraphedeliste"/>
        <w:numPr>
          <w:ilvl w:val="0"/>
          <w:numId w:val="7"/>
        </w:numPr>
        <w:spacing w:line="360" w:lineRule="auto"/>
        <w:jc w:val="both"/>
        <w:rPr>
          <w:rFonts w:ascii="Times New Roman" w:hAnsi="Times New Roman" w:cs="Times New Roman"/>
          <w:bCs/>
          <w:color w:val="000000" w:themeColor="text1"/>
        </w:rPr>
      </w:pPr>
      <w:r w:rsidRPr="00915B33">
        <w:rPr>
          <w:rFonts w:ascii="Times New Roman" w:hAnsi="Times New Roman" w:cs="Times New Roman"/>
          <w:bCs/>
          <w:color w:val="000000" w:themeColor="text1"/>
        </w:rPr>
        <w:t xml:space="preserve">Obtenir une implication </w:t>
      </w:r>
      <w:r w:rsidR="008C7F91" w:rsidRPr="00915B33">
        <w:rPr>
          <w:rFonts w:ascii="Times New Roman" w:hAnsi="Times New Roman" w:cs="Times New Roman"/>
          <w:bCs/>
          <w:color w:val="000000" w:themeColor="text1"/>
        </w:rPr>
        <w:t xml:space="preserve">plus </w:t>
      </w:r>
      <w:r w:rsidR="00A5707A" w:rsidRPr="00915B33">
        <w:rPr>
          <w:rFonts w:ascii="Times New Roman" w:hAnsi="Times New Roman" w:cs="Times New Roman"/>
          <w:bCs/>
          <w:color w:val="000000" w:themeColor="text1"/>
        </w:rPr>
        <w:t>effective d</w:t>
      </w:r>
      <w:r w:rsidRPr="00915B33">
        <w:rPr>
          <w:rFonts w:ascii="Times New Roman" w:hAnsi="Times New Roman" w:cs="Times New Roman"/>
          <w:bCs/>
          <w:color w:val="000000" w:themeColor="text1"/>
        </w:rPr>
        <w:t>es</w:t>
      </w:r>
      <w:r w:rsidR="00A5707A" w:rsidRPr="00915B33">
        <w:rPr>
          <w:rFonts w:ascii="Times New Roman" w:hAnsi="Times New Roman" w:cs="Times New Roman"/>
          <w:bCs/>
          <w:color w:val="000000" w:themeColor="text1"/>
        </w:rPr>
        <w:t xml:space="preserve"> ministère</w:t>
      </w:r>
      <w:r w:rsidRPr="00915B33">
        <w:rPr>
          <w:rFonts w:ascii="Times New Roman" w:hAnsi="Times New Roman" w:cs="Times New Roman"/>
          <w:bCs/>
          <w:color w:val="000000" w:themeColor="text1"/>
        </w:rPr>
        <w:t>s</w:t>
      </w:r>
      <w:r w:rsidR="00A5707A" w:rsidRPr="00915B33">
        <w:rPr>
          <w:rFonts w:ascii="Times New Roman" w:hAnsi="Times New Roman" w:cs="Times New Roman"/>
          <w:bCs/>
          <w:color w:val="000000" w:themeColor="text1"/>
        </w:rPr>
        <w:t xml:space="preserve"> de tutelle</w:t>
      </w:r>
      <w:r w:rsidR="008C7F91" w:rsidRPr="00915B33">
        <w:rPr>
          <w:rFonts w:ascii="Times New Roman" w:hAnsi="Times New Roman" w:cs="Times New Roman"/>
          <w:bCs/>
          <w:color w:val="000000" w:themeColor="text1"/>
        </w:rPr>
        <w:t xml:space="preserve"> </w:t>
      </w:r>
      <w:r w:rsidRPr="00915B33">
        <w:rPr>
          <w:rFonts w:ascii="Times New Roman" w:hAnsi="Times New Roman" w:cs="Times New Roman"/>
          <w:bCs/>
          <w:color w:val="000000" w:themeColor="text1"/>
        </w:rPr>
        <w:t>des entreprises cibles pour les inciter à mieux collaborer ;</w:t>
      </w:r>
    </w:p>
    <w:p w14:paraId="331FEF7F" w14:textId="3243B296" w:rsidR="008C7F91" w:rsidRPr="00915B33" w:rsidRDefault="009E3895" w:rsidP="00B02B7B">
      <w:pPr>
        <w:pStyle w:val="Paragraphedeliste"/>
        <w:numPr>
          <w:ilvl w:val="0"/>
          <w:numId w:val="7"/>
        </w:numPr>
        <w:spacing w:line="360" w:lineRule="auto"/>
        <w:jc w:val="both"/>
        <w:rPr>
          <w:rFonts w:ascii="Times New Roman" w:hAnsi="Times New Roman" w:cs="Times New Roman"/>
          <w:bCs/>
          <w:color w:val="000000" w:themeColor="text1"/>
        </w:rPr>
      </w:pPr>
      <w:r w:rsidRPr="00915B33">
        <w:rPr>
          <w:rFonts w:ascii="Times New Roman" w:hAnsi="Times New Roman" w:cs="Times New Roman"/>
          <w:bCs/>
          <w:color w:val="000000" w:themeColor="text1"/>
        </w:rPr>
        <w:t>F</w:t>
      </w:r>
      <w:r w:rsidR="008C7F91" w:rsidRPr="00915B33">
        <w:rPr>
          <w:rFonts w:ascii="Times New Roman" w:hAnsi="Times New Roman" w:cs="Times New Roman"/>
          <w:bCs/>
          <w:color w:val="000000" w:themeColor="text1"/>
        </w:rPr>
        <w:t>ormalis</w:t>
      </w:r>
      <w:r w:rsidRPr="00915B33">
        <w:rPr>
          <w:rFonts w:ascii="Times New Roman" w:hAnsi="Times New Roman" w:cs="Times New Roman"/>
          <w:bCs/>
          <w:color w:val="000000" w:themeColor="text1"/>
        </w:rPr>
        <w:t xml:space="preserve">er </w:t>
      </w:r>
      <w:r w:rsidR="008C7F91" w:rsidRPr="00915B33">
        <w:rPr>
          <w:rFonts w:ascii="Times New Roman" w:hAnsi="Times New Roman" w:cs="Times New Roman"/>
          <w:bCs/>
          <w:color w:val="000000" w:themeColor="text1"/>
        </w:rPr>
        <w:t xml:space="preserve">’un protocole de collaboration des unités </w:t>
      </w:r>
      <w:r w:rsidR="00C44574" w:rsidRPr="00915B33">
        <w:rPr>
          <w:rFonts w:ascii="Times New Roman" w:hAnsi="Times New Roman" w:cs="Times New Roman"/>
          <w:bCs/>
          <w:color w:val="000000" w:themeColor="text1"/>
        </w:rPr>
        <w:t>industrielles</w:t>
      </w:r>
      <w:r w:rsidR="008C7F91" w:rsidRPr="00915B33">
        <w:rPr>
          <w:rFonts w:ascii="Times New Roman" w:hAnsi="Times New Roman" w:cs="Times New Roman"/>
          <w:bCs/>
          <w:color w:val="000000" w:themeColor="text1"/>
        </w:rPr>
        <w:t xml:space="preserve"> à l’exercice de l’inventaire et à toutes les activités de la CCPNCC ;</w:t>
      </w:r>
    </w:p>
    <w:p w14:paraId="3DBD096A" w14:textId="77777777" w:rsidR="00A73356" w:rsidRPr="00915B33" w:rsidRDefault="00A73356" w:rsidP="00B02B7B">
      <w:pPr>
        <w:pStyle w:val="Paragraphedeliste"/>
        <w:numPr>
          <w:ilvl w:val="0"/>
          <w:numId w:val="7"/>
        </w:numPr>
        <w:spacing w:line="360" w:lineRule="auto"/>
        <w:jc w:val="both"/>
        <w:rPr>
          <w:rFonts w:ascii="Times New Roman" w:hAnsi="Times New Roman" w:cs="Times New Roman"/>
          <w:bCs/>
          <w:color w:val="000000" w:themeColor="text1"/>
        </w:rPr>
      </w:pPr>
      <w:r w:rsidRPr="00915B33">
        <w:rPr>
          <w:rFonts w:ascii="Times New Roman" w:hAnsi="Times New Roman" w:cs="Times New Roman"/>
          <w:bCs/>
          <w:color w:val="000000" w:themeColor="text1"/>
        </w:rPr>
        <w:t xml:space="preserve">Fournir au chargé de collecte de chaque secteur, </w:t>
      </w:r>
      <w:r w:rsidR="00126E0E" w:rsidRPr="00915B33">
        <w:rPr>
          <w:rFonts w:ascii="Times New Roman" w:hAnsi="Times New Roman" w:cs="Times New Roman"/>
          <w:bCs/>
          <w:color w:val="000000" w:themeColor="text1"/>
        </w:rPr>
        <w:t>une lettre de mission officielle</w:t>
      </w:r>
      <w:r w:rsidRPr="00915B33">
        <w:rPr>
          <w:rFonts w:ascii="Times New Roman" w:hAnsi="Times New Roman" w:cs="Times New Roman"/>
          <w:bCs/>
          <w:color w:val="000000" w:themeColor="text1"/>
        </w:rPr>
        <w:t xml:space="preserve"> pour lever tout doute de ses détenteurs de données quant au but de l’exercice ;</w:t>
      </w:r>
    </w:p>
    <w:p w14:paraId="5B8EC34B" w14:textId="0D897790" w:rsidR="00EA0A12" w:rsidRPr="00915B33" w:rsidRDefault="00A73356" w:rsidP="00B02B7B">
      <w:pPr>
        <w:pStyle w:val="Paragraphedeliste"/>
        <w:numPr>
          <w:ilvl w:val="0"/>
          <w:numId w:val="7"/>
        </w:numPr>
        <w:spacing w:line="360" w:lineRule="auto"/>
        <w:jc w:val="both"/>
        <w:rPr>
          <w:rFonts w:ascii="Times New Roman" w:hAnsi="Times New Roman" w:cs="Times New Roman"/>
          <w:b/>
          <w:bCs/>
          <w:color w:val="000000" w:themeColor="text1"/>
        </w:rPr>
      </w:pPr>
      <w:r w:rsidRPr="00915B33">
        <w:rPr>
          <w:rFonts w:ascii="Times New Roman" w:hAnsi="Times New Roman" w:cs="Times New Roman"/>
          <w:bCs/>
          <w:color w:val="000000" w:themeColor="text1"/>
        </w:rPr>
        <w:t>Signer une convention de collaboration avec les entreprises détentrices des données laquelle garantira la confidentialité des données.</w:t>
      </w:r>
      <w:r w:rsidR="00EA0A12" w:rsidRPr="00915B33">
        <w:rPr>
          <w:rFonts w:ascii="Times New Roman" w:hAnsi="Times New Roman" w:cs="Times New Roman"/>
          <w:b/>
          <w:bCs/>
          <w:color w:val="000000" w:themeColor="text1"/>
        </w:rPr>
        <w:br w:type="page"/>
      </w:r>
    </w:p>
    <w:p w14:paraId="0EE70252" w14:textId="77777777" w:rsidR="00F27423" w:rsidRPr="00915B33" w:rsidRDefault="00F27423" w:rsidP="00710403">
      <w:pPr>
        <w:pStyle w:val="Grandtitre"/>
        <w:rPr>
          <w:b w:val="0"/>
          <w:sz w:val="22"/>
        </w:rPr>
      </w:pPr>
      <w:bookmarkStart w:id="82" w:name="_Toc489388317"/>
      <w:r w:rsidRPr="00710403">
        <w:t>Bibliographie</w:t>
      </w:r>
      <w:bookmarkEnd w:id="82"/>
    </w:p>
    <w:p w14:paraId="4F50B0BF" w14:textId="77777777" w:rsidR="00F27423" w:rsidRPr="00915B33" w:rsidRDefault="00F27423">
      <w:pPr>
        <w:pStyle w:val="Grandtitre"/>
        <w:numPr>
          <w:ilvl w:val="0"/>
          <w:numId w:val="0"/>
        </w:numPr>
        <w:jc w:val="both"/>
        <w:rPr>
          <w:b w:val="0"/>
          <w:color w:val="000000" w:themeColor="text1"/>
          <w:sz w:val="22"/>
        </w:rPr>
      </w:pPr>
      <w:bookmarkStart w:id="83" w:name="_Toc489388318"/>
      <w:bookmarkStart w:id="84" w:name="_Toc481096538"/>
      <w:bookmarkStart w:id="85" w:name="_Toc484010066"/>
      <w:r w:rsidRPr="00915B33">
        <w:rPr>
          <w:b w:val="0"/>
          <w:color w:val="000000" w:themeColor="text1"/>
          <w:sz w:val="22"/>
        </w:rPr>
        <w:t>GIEC 2006. Lignes directrices du GIEC pour les inventaires nationaux de gaz à effet de serre, préparé par le Programme pour les inventaires nationaux de GES, Eggleston H.S., Buendia L., Miwa K., Ngara T. et Tanabe K. (eds). Publié : IGES, Japon.</w:t>
      </w:r>
      <w:bookmarkEnd w:id="83"/>
      <w:bookmarkEnd w:id="84"/>
      <w:bookmarkEnd w:id="85"/>
    </w:p>
    <w:p w14:paraId="659968A0" w14:textId="77777777" w:rsidR="00F27423" w:rsidRPr="00915B33" w:rsidRDefault="00F27423">
      <w:pPr>
        <w:pStyle w:val="Grandtitre"/>
        <w:numPr>
          <w:ilvl w:val="0"/>
          <w:numId w:val="0"/>
        </w:numPr>
        <w:jc w:val="both"/>
        <w:rPr>
          <w:b w:val="0"/>
          <w:color w:val="000000" w:themeColor="text1"/>
          <w:sz w:val="22"/>
        </w:rPr>
      </w:pPr>
      <w:bookmarkStart w:id="86" w:name="_Toc489388319"/>
      <w:bookmarkStart w:id="87" w:name="_Toc481096539"/>
      <w:bookmarkStart w:id="88" w:name="_Toc484010067"/>
      <w:r w:rsidRPr="00915B33">
        <w:rPr>
          <w:b w:val="0"/>
          <w:color w:val="000000" w:themeColor="text1"/>
          <w:sz w:val="22"/>
        </w:rPr>
        <w:t>MCIT. 2015. Stratégie pour le développement du secteur industriel en Mauritanie, 2015-2019. MCIT. 42p.</w:t>
      </w:r>
      <w:bookmarkEnd w:id="86"/>
      <w:bookmarkEnd w:id="87"/>
      <w:bookmarkEnd w:id="88"/>
    </w:p>
    <w:p w14:paraId="494FA8C7" w14:textId="77777777" w:rsidR="00F27423" w:rsidRPr="00915B33" w:rsidRDefault="00F27423">
      <w:pPr>
        <w:pStyle w:val="Grandtitre"/>
        <w:numPr>
          <w:ilvl w:val="0"/>
          <w:numId w:val="0"/>
        </w:numPr>
        <w:jc w:val="both"/>
        <w:rPr>
          <w:b w:val="0"/>
          <w:color w:val="000000" w:themeColor="text1"/>
          <w:sz w:val="22"/>
        </w:rPr>
      </w:pPr>
      <w:bookmarkStart w:id="89" w:name="_Toc489388320"/>
      <w:bookmarkStart w:id="90" w:name="_Toc481096540"/>
      <w:bookmarkStart w:id="91" w:name="_Toc484010068"/>
      <w:r w:rsidRPr="00915B33">
        <w:rPr>
          <w:b w:val="0"/>
          <w:color w:val="000000" w:themeColor="text1"/>
          <w:sz w:val="22"/>
        </w:rPr>
        <w:t>MEDD. 2015, Rapport d’inventaire national mis à jour. MEDD. 233p.</w:t>
      </w:r>
      <w:bookmarkEnd w:id="89"/>
      <w:bookmarkEnd w:id="90"/>
      <w:bookmarkEnd w:id="91"/>
    </w:p>
    <w:p w14:paraId="100AAE4A" w14:textId="77777777" w:rsidR="00F27423" w:rsidRPr="00915B33" w:rsidRDefault="00F27423">
      <w:pPr>
        <w:pStyle w:val="Grandtitre"/>
        <w:numPr>
          <w:ilvl w:val="0"/>
          <w:numId w:val="0"/>
        </w:numPr>
        <w:jc w:val="both"/>
        <w:rPr>
          <w:b w:val="0"/>
          <w:color w:val="000000" w:themeColor="text1"/>
          <w:sz w:val="22"/>
        </w:rPr>
      </w:pPr>
      <w:bookmarkStart w:id="92" w:name="_Toc489388321"/>
      <w:bookmarkStart w:id="93" w:name="_Toc481096541"/>
      <w:bookmarkStart w:id="94" w:name="_Toc484010069"/>
      <w:r w:rsidRPr="00915B33">
        <w:rPr>
          <w:b w:val="0"/>
          <w:color w:val="000000" w:themeColor="text1"/>
          <w:sz w:val="22"/>
        </w:rPr>
        <w:t xml:space="preserve">ONS. Annuaire statistique 2014. </w:t>
      </w:r>
      <w:hyperlink r:id="rId25" w:history="1">
        <w:r w:rsidRPr="00915B33">
          <w:rPr>
            <w:rStyle w:val="Lienhypertexte"/>
            <w:b w:val="0"/>
            <w:color w:val="000000" w:themeColor="text1"/>
            <w:sz w:val="22"/>
          </w:rPr>
          <w:t>www.ons.mr</w:t>
        </w:r>
      </w:hyperlink>
      <w:bookmarkEnd w:id="92"/>
      <w:bookmarkEnd w:id="93"/>
      <w:bookmarkEnd w:id="94"/>
    </w:p>
    <w:p w14:paraId="04CD181D" w14:textId="77777777" w:rsidR="00F27423" w:rsidRPr="00915B33" w:rsidRDefault="00F27423">
      <w:pPr>
        <w:pStyle w:val="Grandtitre"/>
        <w:numPr>
          <w:ilvl w:val="0"/>
          <w:numId w:val="0"/>
        </w:numPr>
        <w:jc w:val="both"/>
        <w:rPr>
          <w:b w:val="0"/>
          <w:color w:val="000000" w:themeColor="text1"/>
          <w:sz w:val="22"/>
        </w:rPr>
      </w:pPr>
      <w:bookmarkStart w:id="95" w:name="_Toc489388322"/>
      <w:bookmarkStart w:id="96" w:name="_Toc481096542"/>
      <w:bookmarkStart w:id="97" w:name="_Toc484010070"/>
      <w:r w:rsidRPr="00915B33">
        <w:rPr>
          <w:b w:val="0"/>
          <w:color w:val="000000" w:themeColor="text1"/>
          <w:sz w:val="22"/>
        </w:rPr>
        <w:t xml:space="preserve">ONS. 2014. Mauritanie en </w:t>
      </w:r>
      <w:r w:rsidR="00461682" w:rsidRPr="00915B33">
        <w:rPr>
          <w:b w:val="0"/>
          <w:color w:val="000000" w:themeColor="text1"/>
          <w:sz w:val="22"/>
        </w:rPr>
        <w:t>chiffres. ONS</w:t>
      </w:r>
      <w:r w:rsidRPr="00915B33">
        <w:rPr>
          <w:b w:val="0"/>
          <w:color w:val="000000" w:themeColor="text1"/>
          <w:sz w:val="22"/>
        </w:rPr>
        <w:t>, 2p.</w:t>
      </w:r>
      <w:bookmarkEnd w:id="95"/>
      <w:bookmarkEnd w:id="96"/>
      <w:bookmarkEnd w:id="97"/>
    </w:p>
    <w:p w14:paraId="4B22D219" w14:textId="77777777" w:rsidR="00F27423" w:rsidRPr="00915B33" w:rsidRDefault="00F27423">
      <w:pPr>
        <w:pStyle w:val="Grandtitre"/>
        <w:numPr>
          <w:ilvl w:val="0"/>
          <w:numId w:val="0"/>
        </w:numPr>
        <w:jc w:val="both"/>
        <w:rPr>
          <w:color w:val="000000" w:themeColor="text1"/>
        </w:rPr>
      </w:pPr>
      <w:bookmarkStart w:id="98" w:name="_Toc489388323"/>
      <w:bookmarkStart w:id="99" w:name="_Toc481096543"/>
      <w:bookmarkStart w:id="100" w:name="_Toc484010071"/>
      <w:r w:rsidRPr="00915B33">
        <w:rPr>
          <w:b w:val="0"/>
          <w:color w:val="000000" w:themeColor="text1"/>
          <w:sz w:val="22"/>
        </w:rPr>
        <w:t>RIM 2009. Décret 189-2009 relatif à l’enregistrement, au suivi et à la classification des entreprises industrielles.</w:t>
      </w:r>
      <w:bookmarkEnd w:id="98"/>
      <w:bookmarkEnd w:id="99"/>
      <w:bookmarkEnd w:id="100"/>
    </w:p>
    <w:p w14:paraId="11E2E074" w14:textId="77777777" w:rsidR="00F27423" w:rsidRPr="00915B33" w:rsidRDefault="00000000">
      <w:pPr>
        <w:jc w:val="both"/>
        <w:rPr>
          <w:rFonts w:ascii="Times New Roman" w:hAnsi="Times New Roman" w:cs="Times New Roman"/>
          <w:color w:val="000000" w:themeColor="text1"/>
        </w:rPr>
      </w:pPr>
      <w:hyperlink r:id="rId26" w:history="1">
        <w:r w:rsidR="00F27423" w:rsidRPr="00915B33">
          <w:rPr>
            <w:rStyle w:val="Lienhypertexte"/>
            <w:rFonts w:ascii="Times New Roman" w:hAnsi="Times New Roman" w:cs="Times New Roman"/>
            <w:color w:val="000000" w:themeColor="text1"/>
          </w:rPr>
          <w:t>https://fr.wikipedia.org/wiki/Solvant</w:t>
        </w:r>
      </w:hyperlink>
    </w:p>
    <w:bookmarkStart w:id="101" w:name="_Toc489388324"/>
    <w:bookmarkStart w:id="102" w:name="_Toc484010072"/>
    <w:bookmarkStart w:id="103" w:name="_Toc481096544"/>
    <w:p w14:paraId="47C96DAC" w14:textId="77777777" w:rsidR="00F27423" w:rsidRPr="00915B33" w:rsidRDefault="005E781F">
      <w:pPr>
        <w:pStyle w:val="Grandtitre"/>
        <w:numPr>
          <w:ilvl w:val="0"/>
          <w:numId w:val="0"/>
        </w:numPr>
        <w:jc w:val="both"/>
        <w:rPr>
          <w:color w:val="000000" w:themeColor="text1"/>
        </w:rPr>
      </w:pPr>
      <w:r w:rsidRPr="00915B33">
        <w:rPr>
          <w:color w:val="000000" w:themeColor="text1"/>
        </w:rPr>
        <w:fldChar w:fldCharType="begin"/>
      </w:r>
      <w:r w:rsidR="00F27423" w:rsidRPr="00915B33">
        <w:rPr>
          <w:color w:val="000000" w:themeColor="text1"/>
        </w:rPr>
        <w:instrText xml:space="preserve"> HYPERLINK "http://www.ciment.mr/productos.html"</w:instrText>
      </w:r>
      <w:r w:rsidRPr="00915B33">
        <w:rPr>
          <w:color w:val="000000" w:themeColor="text1"/>
        </w:rPr>
      </w:r>
      <w:r w:rsidRPr="00915B33">
        <w:rPr>
          <w:color w:val="000000" w:themeColor="text1"/>
        </w:rPr>
        <w:fldChar w:fldCharType="separate"/>
      </w:r>
      <w:r w:rsidR="00F27423" w:rsidRPr="00915B33">
        <w:rPr>
          <w:rStyle w:val="Lienhypertexte"/>
          <w:b w:val="0"/>
          <w:color w:val="000000" w:themeColor="text1"/>
          <w:sz w:val="22"/>
        </w:rPr>
        <w:t>http://www.ciment.mr/productos.html</w:t>
      </w:r>
      <w:r w:rsidRPr="00915B33">
        <w:rPr>
          <w:color w:val="000000" w:themeColor="text1"/>
        </w:rPr>
        <w:fldChar w:fldCharType="end"/>
      </w:r>
      <w:bookmarkEnd w:id="101"/>
      <w:bookmarkEnd w:id="102"/>
      <w:bookmarkEnd w:id="103"/>
    </w:p>
    <w:p w14:paraId="15814DC8" w14:textId="77777777" w:rsidR="00F27423" w:rsidRPr="00915B33" w:rsidRDefault="00000000">
      <w:pPr>
        <w:pStyle w:val="Grandtitre"/>
        <w:numPr>
          <w:ilvl w:val="0"/>
          <w:numId w:val="0"/>
        </w:numPr>
        <w:jc w:val="both"/>
        <w:rPr>
          <w:color w:val="000000" w:themeColor="text1"/>
        </w:rPr>
      </w:pPr>
      <w:hyperlink r:id="rId27" w:history="1">
        <w:r w:rsidR="00F27423" w:rsidRPr="00915B33">
          <w:rPr>
            <w:rStyle w:val="Lienhypertexte"/>
            <w:b w:val="0"/>
            <w:color w:val="000000" w:themeColor="text1"/>
            <w:sz w:val="22"/>
          </w:rPr>
          <w:t>http://www.ipcc-nggip.iges.or.jp/public/2006gl/french/</w:t>
        </w:r>
      </w:hyperlink>
    </w:p>
    <w:p w14:paraId="1C91B385" w14:textId="77777777" w:rsidR="00F27423" w:rsidRPr="00915B33" w:rsidRDefault="00000000">
      <w:pPr>
        <w:pStyle w:val="Grandtitre"/>
        <w:numPr>
          <w:ilvl w:val="0"/>
          <w:numId w:val="0"/>
        </w:numPr>
        <w:jc w:val="both"/>
        <w:rPr>
          <w:rStyle w:val="Lienhypertexte"/>
          <w:b w:val="0"/>
          <w:color w:val="000000" w:themeColor="text1"/>
          <w:sz w:val="22"/>
          <w:shd w:val="clear" w:color="auto" w:fill="FFFFFF"/>
        </w:rPr>
      </w:pPr>
      <w:hyperlink r:id="rId28" w:history="1">
        <w:r w:rsidR="00F27423" w:rsidRPr="00915B33">
          <w:rPr>
            <w:rStyle w:val="Lienhypertexte"/>
            <w:b w:val="0"/>
            <w:color w:val="000000" w:themeColor="text1"/>
            <w:sz w:val="22"/>
            <w:shd w:val="clear" w:color="auto" w:fill="FFFFFF"/>
          </w:rPr>
          <w:t>www.environnement.gov.mr/fr/</w:t>
        </w:r>
      </w:hyperlink>
    </w:p>
    <w:p w14:paraId="1CA0C232" w14:textId="77777777" w:rsidR="007311E9" w:rsidRPr="00915B33" w:rsidRDefault="00000000">
      <w:pPr>
        <w:pStyle w:val="Grandtitre"/>
        <w:numPr>
          <w:ilvl w:val="0"/>
          <w:numId w:val="0"/>
        </w:numPr>
        <w:jc w:val="both"/>
        <w:rPr>
          <w:rStyle w:val="Lienhypertexte"/>
          <w:b w:val="0"/>
          <w:color w:val="000000" w:themeColor="text1"/>
          <w:sz w:val="22"/>
          <w:shd w:val="clear" w:color="auto" w:fill="FFFFFF"/>
          <w:lang w:val="en-CA"/>
        </w:rPr>
      </w:pPr>
      <w:hyperlink r:id="rId29" w:history="1">
        <w:r w:rsidR="007311E9" w:rsidRPr="00915B33">
          <w:rPr>
            <w:rStyle w:val="Lienhypertexte"/>
            <w:b w:val="0"/>
            <w:color w:val="000000" w:themeColor="text1"/>
            <w:sz w:val="22"/>
            <w:shd w:val="clear" w:color="auto" w:fill="FFFFFF"/>
            <w:lang w:val="en-CA"/>
          </w:rPr>
          <w:t>file:///C:/Users/a.ly/Downloads/pm-111.pdf</w:t>
        </w:r>
      </w:hyperlink>
    </w:p>
    <w:p w14:paraId="5E46B993" w14:textId="77777777" w:rsidR="00C62C51" w:rsidRPr="00915B33" w:rsidRDefault="00000000">
      <w:pPr>
        <w:pStyle w:val="Grandtitre"/>
        <w:numPr>
          <w:ilvl w:val="0"/>
          <w:numId w:val="0"/>
        </w:numPr>
        <w:jc w:val="both"/>
        <w:rPr>
          <w:rStyle w:val="Lienhypertexte"/>
          <w:b w:val="0"/>
          <w:color w:val="000000" w:themeColor="text1"/>
          <w:sz w:val="22"/>
          <w:shd w:val="clear" w:color="auto" w:fill="FFFFFF"/>
          <w:lang w:val="en-CA"/>
        </w:rPr>
      </w:pPr>
      <w:hyperlink r:id="rId30" w:history="1">
        <w:r w:rsidR="00C62C51" w:rsidRPr="00915B33">
          <w:rPr>
            <w:rStyle w:val="Lienhypertexte"/>
            <w:b w:val="0"/>
            <w:color w:val="000000" w:themeColor="text1"/>
            <w:sz w:val="22"/>
            <w:shd w:val="clear" w:color="auto" w:fill="FFFFFF"/>
            <w:lang w:val="en-CA"/>
          </w:rPr>
          <w:t>https://housingfinanceafrica.org/app/uploads/2023/11/2023-French-Yearbook-28.10.2023_compressed.pdf</w:t>
        </w:r>
      </w:hyperlink>
    </w:p>
    <w:p w14:paraId="5A4A2C32" w14:textId="77777777" w:rsidR="00C62C51" w:rsidRPr="00915B33" w:rsidRDefault="00000000">
      <w:pPr>
        <w:pStyle w:val="Grandtitre"/>
        <w:numPr>
          <w:ilvl w:val="0"/>
          <w:numId w:val="0"/>
        </w:numPr>
        <w:jc w:val="both"/>
        <w:rPr>
          <w:rStyle w:val="Lienhypertexte"/>
          <w:b w:val="0"/>
          <w:color w:val="000000" w:themeColor="text1"/>
          <w:sz w:val="22"/>
          <w:shd w:val="clear" w:color="auto" w:fill="FFFFFF"/>
          <w:lang w:val="en-CA"/>
        </w:rPr>
      </w:pPr>
      <w:hyperlink r:id="rId31" w:history="1">
        <w:r w:rsidR="00C62C51" w:rsidRPr="00915B33">
          <w:rPr>
            <w:rStyle w:val="Lienhypertexte"/>
            <w:b w:val="0"/>
            <w:color w:val="000000" w:themeColor="text1"/>
            <w:sz w:val="22"/>
            <w:shd w:val="clear" w:color="auto" w:fill="FFFFFF"/>
            <w:lang w:val="en-CA"/>
          </w:rPr>
          <w:t>https://caravanmr.com/node/75</w:t>
        </w:r>
      </w:hyperlink>
    </w:p>
    <w:p w14:paraId="6A8E544D" w14:textId="30BEC4A9" w:rsidR="00C62C51" w:rsidRPr="00915B33" w:rsidRDefault="00000000">
      <w:pPr>
        <w:pStyle w:val="Grandtitre"/>
        <w:numPr>
          <w:ilvl w:val="0"/>
          <w:numId w:val="0"/>
        </w:numPr>
        <w:jc w:val="both"/>
        <w:rPr>
          <w:rStyle w:val="Lienhypertexte"/>
          <w:b w:val="0"/>
          <w:color w:val="000000" w:themeColor="text1"/>
          <w:sz w:val="22"/>
          <w:shd w:val="clear" w:color="auto" w:fill="FFFFFF"/>
          <w:lang w:val="en-CA"/>
        </w:rPr>
      </w:pPr>
      <w:hyperlink r:id="rId32" w:history="1">
        <w:r w:rsidR="00737496" w:rsidRPr="00915B33">
          <w:rPr>
            <w:rStyle w:val="Lienhypertexte"/>
            <w:b w:val="0"/>
            <w:color w:val="000000" w:themeColor="text1"/>
            <w:sz w:val="22"/>
            <w:shd w:val="clear" w:color="auto" w:fill="FFFFFF"/>
            <w:lang w:val="en-CA"/>
          </w:rPr>
          <w:t>http://www.attm.mr/index.php/component/content/category/83-entreprise</w:t>
        </w:r>
      </w:hyperlink>
    </w:p>
    <w:p w14:paraId="45DC4AA6" w14:textId="5B85D098" w:rsidR="00737496" w:rsidRPr="00915B33" w:rsidRDefault="00737496">
      <w:pPr>
        <w:pStyle w:val="Grandtitre"/>
        <w:numPr>
          <w:ilvl w:val="0"/>
          <w:numId w:val="0"/>
        </w:numPr>
        <w:jc w:val="both"/>
        <w:rPr>
          <w:rStyle w:val="Lienhypertexte"/>
          <w:b w:val="0"/>
          <w:color w:val="000000" w:themeColor="text1"/>
          <w:sz w:val="22"/>
          <w:shd w:val="clear" w:color="auto" w:fill="FFFFFF"/>
          <w:lang w:val="en-CA"/>
        </w:rPr>
      </w:pPr>
      <w:r w:rsidRPr="00915B33">
        <w:rPr>
          <w:rStyle w:val="Lienhypertexte"/>
          <w:b w:val="0"/>
          <w:color w:val="000000" w:themeColor="text1"/>
          <w:sz w:val="22"/>
          <w:shd w:val="clear" w:color="auto" w:fill="FFFFFF"/>
          <w:lang w:val="en-CA"/>
        </w:rPr>
        <w:t>https://unfccc.int/sites/default/files/resource/IGES%20NIR-MR-VF.pdf</w:t>
      </w:r>
    </w:p>
    <w:p w14:paraId="7144FB84" w14:textId="77777777" w:rsidR="00F27423" w:rsidRPr="00915B33" w:rsidRDefault="00F27423">
      <w:pPr>
        <w:jc w:val="both"/>
        <w:rPr>
          <w:rFonts w:ascii="Times New Roman" w:hAnsi="Times New Roman" w:cs="Times New Roman"/>
          <w:color w:val="000000" w:themeColor="text1"/>
          <w:lang w:val="en-CA"/>
        </w:rPr>
      </w:pPr>
    </w:p>
    <w:p w14:paraId="7E71E638" w14:textId="77777777" w:rsidR="00F27423" w:rsidRPr="00915B33" w:rsidRDefault="00F27423">
      <w:pPr>
        <w:jc w:val="both"/>
        <w:rPr>
          <w:rFonts w:ascii="Times New Roman" w:hAnsi="Times New Roman" w:cs="Times New Roman"/>
          <w:color w:val="000000" w:themeColor="text1"/>
          <w:lang w:val="en-CA"/>
        </w:rPr>
      </w:pPr>
    </w:p>
    <w:p w14:paraId="7299E881" w14:textId="77777777" w:rsidR="00F27423" w:rsidRPr="00915B33" w:rsidRDefault="00F27423">
      <w:pPr>
        <w:jc w:val="both"/>
        <w:rPr>
          <w:rFonts w:ascii="Times New Roman" w:hAnsi="Times New Roman" w:cs="Times New Roman"/>
          <w:color w:val="000000" w:themeColor="text1"/>
          <w:lang w:val="en-CA"/>
        </w:rPr>
      </w:pPr>
    </w:p>
    <w:p w14:paraId="157987F0" w14:textId="77777777" w:rsidR="00F27423" w:rsidRPr="00915B33" w:rsidRDefault="00F27423">
      <w:pPr>
        <w:jc w:val="both"/>
        <w:rPr>
          <w:rFonts w:ascii="Times New Roman" w:hAnsi="Times New Roman" w:cs="Times New Roman"/>
          <w:color w:val="000000" w:themeColor="text1"/>
          <w:lang w:val="en-CA"/>
        </w:rPr>
      </w:pPr>
    </w:p>
    <w:p w14:paraId="7260CB64" w14:textId="77777777" w:rsidR="00F27423" w:rsidRPr="00915B33" w:rsidRDefault="00F27423">
      <w:pPr>
        <w:jc w:val="both"/>
        <w:rPr>
          <w:rFonts w:ascii="Times New Roman" w:hAnsi="Times New Roman" w:cs="Times New Roman"/>
          <w:color w:val="000000" w:themeColor="text1"/>
          <w:lang w:val="en-CA"/>
        </w:rPr>
      </w:pPr>
    </w:p>
    <w:p w14:paraId="0667A6EE" w14:textId="77777777" w:rsidR="00F27423" w:rsidRPr="00915B33" w:rsidRDefault="00F27423">
      <w:pPr>
        <w:jc w:val="both"/>
        <w:rPr>
          <w:rFonts w:ascii="Times New Roman" w:hAnsi="Times New Roman" w:cs="Times New Roman"/>
          <w:color w:val="000000" w:themeColor="text1"/>
          <w:lang w:val="en-CA"/>
        </w:rPr>
      </w:pPr>
    </w:p>
    <w:p w14:paraId="517BA5A4" w14:textId="77777777" w:rsidR="00F27423" w:rsidRPr="00915B33" w:rsidRDefault="00F27423">
      <w:pPr>
        <w:jc w:val="both"/>
        <w:rPr>
          <w:rFonts w:ascii="Times New Roman" w:hAnsi="Times New Roman" w:cs="Times New Roman"/>
          <w:color w:val="000000" w:themeColor="text1"/>
          <w:lang w:val="en-CA"/>
        </w:rPr>
      </w:pPr>
    </w:p>
    <w:sectPr w:rsidR="00F27423" w:rsidRPr="00915B33" w:rsidSect="00096983">
      <w:footerReference w:type="default" r:id="rId33"/>
      <w:pgSz w:w="11906" w:h="16838"/>
      <w:pgMar w:top="1417" w:right="1417" w:bottom="1417" w:left="1417" w:header="720" w:footer="708" w:gutter="0"/>
      <w:cols w:space="72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3D75" w14:textId="77777777" w:rsidR="00650C7B" w:rsidRDefault="00650C7B">
      <w:pPr>
        <w:spacing w:after="0" w:line="240" w:lineRule="auto"/>
      </w:pPr>
      <w:r>
        <w:separator/>
      </w:r>
    </w:p>
  </w:endnote>
  <w:endnote w:type="continuationSeparator" w:id="0">
    <w:p w14:paraId="7E6E279F" w14:textId="77777777" w:rsidR="00650C7B" w:rsidRDefault="0065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oid Sans Fallback">
    <w:altName w:val="Times New Roman"/>
    <w:charset w:val="01"/>
    <w:family w:val="auto"/>
    <w:pitch w:val="variable"/>
  </w:font>
  <w:font w:name="font275">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ll MT">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804483"/>
      <w:docPartObj>
        <w:docPartGallery w:val="Page Numbers (Bottom of Page)"/>
        <w:docPartUnique/>
      </w:docPartObj>
    </w:sdtPr>
    <w:sdtContent>
      <w:p w14:paraId="6FF54008" w14:textId="2FC26E7E" w:rsidR="00096983" w:rsidRDefault="00096983">
        <w:pPr>
          <w:pStyle w:val="Pieddepage"/>
          <w:jc w:val="right"/>
        </w:pPr>
        <w:r>
          <w:fldChar w:fldCharType="begin"/>
        </w:r>
        <w:r>
          <w:instrText>PAGE   \* MERGEFORMAT</w:instrText>
        </w:r>
        <w:r>
          <w:fldChar w:fldCharType="separate"/>
        </w:r>
        <w:r>
          <w:rPr>
            <w:lang w:val="fr-FR"/>
          </w:rPr>
          <w:t>2</w:t>
        </w:r>
        <w:r>
          <w:fldChar w:fldCharType="end"/>
        </w:r>
      </w:p>
    </w:sdtContent>
  </w:sdt>
  <w:p w14:paraId="0AD083D3" w14:textId="77777777" w:rsidR="00096983" w:rsidRDefault="000969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7C45" w14:textId="77777777" w:rsidR="00650C7B" w:rsidRDefault="00650C7B">
      <w:pPr>
        <w:spacing w:after="0" w:line="240" w:lineRule="auto"/>
      </w:pPr>
      <w:r>
        <w:separator/>
      </w:r>
    </w:p>
  </w:footnote>
  <w:footnote w:type="continuationSeparator" w:id="0">
    <w:p w14:paraId="3421AC9E" w14:textId="77777777" w:rsidR="00650C7B" w:rsidRDefault="00650C7B">
      <w:pPr>
        <w:spacing w:after="0" w:line="240" w:lineRule="auto"/>
      </w:pPr>
      <w:r>
        <w:continuationSeparator/>
      </w:r>
    </w:p>
  </w:footnote>
  <w:footnote w:id="1">
    <w:p w14:paraId="340FB359" w14:textId="77777777" w:rsidR="00760C28" w:rsidRDefault="00760C28" w:rsidP="00760C28">
      <w:r>
        <w:rPr>
          <w:rStyle w:val="Caractresdenotedebasdepage"/>
        </w:rPr>
        <w:footnoteRef/>
      </w:r>
      <w:r>
        <w:br w:type="page"/>
      </w:r>
      <w:r>
        <w:rPr>
          <w:rStyle w:val="Appelnotedebasdep1"/>
        </w:rPr>
        <w:tab/>
      </w:r>
      <w:r>
        <w:t xml:space="preserve"> Source Vol. 3 des LD 2006 du GIEC, chap 4 Industrie métallique (Tableau 4.5 vol. 3, chap4, p.40)</w:t>
      </w:r>
    </w:p>
  </w:footnote>
  <w:footnote w:id="2">
    <w:p w14:paraId="766F8E68" w14:textId="594100DE" w:rsidR="00134E41" w:rsidRDefault="00134E41" w:rsidP="008A52C6">
      <w:r>
        <w:rPr>
          <w:rStyle w:val="Caractresdenotedebasdepage"/>
        </w:rPr>
        <w:footnoteRef/>
      </w:r>
      <w:r>
        <w:br w:type="page"/>
      </w:r>
      <w:r>
        <w:rPr>
          <w:rStyle w:val="Appelnotedebasdep1"/>
          <w:sz w:val="18"/>
          <w:szCs w:val="18"/>
        </w:rPr>
        <w:tab/>
      </w:r>
      <w:r>
        <w:rPr>
          <w:sz w:val="18"/>
          <w:szCs w:val="18"/>
        </w:rPr>
        <w:t>Dioxyde de carbone (CO</w:t>
      </w:r>
      <w:r>
        <w:rPr>
          <w:sz w:val="18"/>
          <w:szCs w:val="18"/>
          <w:vertAlign w:val="subscript"/>
        </w:rPr>
        <w:t>2</w:t>
      </w:r>
      <w:r>
        <w:rPr>
          <w:sz w:val="18"/>
          <w:szCs w:val="18"/>
        </w:rPr>
        <w:t>), Méthane (CH</w:t>
      </w:r>
      <w:r>
        <w:rPr>
          <w:sz w:val="18"/>
          <w:szCs w:val="18"/>
          <w:vertAlign w:val="subscript"/>
        </w:rPr>
        <w:t>4</w:t>
      </w:r>
      <w:r>
        <w:rPr>
          <w:sz w:val="18"/>
          <w:szCs w:val="18"/>
        </w:rPr>
        <w:t>), Oxyde nitreux (N</w:t>
      </w:r>
      <w:r>
        <w:rPr>
          <w:sz w:val="18"/>
          <w:szCs w:val="18"/>
          <w:vertAlign w:val="subscript"/>
        </w:rPr>
        <w:t>2</w:t>
      </w:r>
      <w:r>
        <w:rPr>
          <w:sz w:val="18"/>
          <w:szCs w:val="18"/>
        </w:rPr>
        <w:t>O), Hydrofluorocarbures (HFC</w:t>
      </w:r>
      <w:r w:rsidR="00A70FD3">
        <w:rPr>
          <w:sz w:val="18"/>
          <w:szCs w:val="18"/>
        </w:rPr>
        <w:t>), Hydrocarbures</w:t>
      </w:r>
      <w:r>
        <w:rPr>
          <w:sz w:val="18"/>
          <w:szCs w:val="18"/>
        </w:rPr>
        <w:t xml:space="preserve"> perfluorés (PFC) et Hexafluorure de soufre (SF</w:t>
      </w:r>
      <w:r>
        <w:rPr>
          <w:sz w:val="18"/>
          <w:szCs w:val="18"/>
          <w:vertAlign w:val="subscript"/>
        </w:rPr>
        <w:t>6</w:t>
      </w:r>
      <w:r>
        <w:rPr>
          <w:sz w:val="18"/>
          <w:szCs w:val="18"/>
        </w:rPr>
        <w:t>), Composés organiques volatils non méthaniques (COVNM), Monoxyde de carbone (CO), SO</w:t>
      </w:r>
      <w:r>
        <w:rPr>
          <w:sz w:val="18"/>
          <w:szCs w:val="18"/>
          <w:vertAlign w:val="subscript"/>
        </w:rPr>
        <w:t>2</w:t>
      </w:r>
      <w:r>
        <w:rPr>
          <w:sz w:val="18"/>
          <w:szCs w:val="18"/>
        </w:rPr>
        <w:t>, NO</w:t>
      </w:r>
      <w:r>
        <w:rPr>
          <w:sz w:val="18"/>
          <w:szCs w:val="18"/>
          <w:vertAlign w:val="subscript"/>
        </w:rPr>
        <w:t>x</w:t>
      </w:r>
      <w:r>
        <w:rPr>
          <w:sz w:val="18"/>
          <w:szCs w:val="18"/>
        </w:rPr>
        <w:t>.</w:t>
      </w:r>
    </w:p>
  </w:footnote>
  <w:footnote w:id="3">
    <w:p w14:paraId="084F5870" w14:textId="77777777" w:rsidR="00134E41" w:rsidRDefault="00134E41">
      <w:r>
        <w:rPr>
          <w:rStyle w:val="Caractresdenotedebasdepage"/>
        </w:rPr>
        <w:footnoteRef/>
      </w:r>
      <w:r>
        <w:br w:type="page"/>
      </w:r>
      <w:r>
        <w:rPr>
          <w:rStyle w:val="Appelnotedebasdep1"/>
        </w:rPr>
        <w:tab/>
      </w:r>
      <w:r>
        <w:rPr>
          <w:sz w:val="18"/>
          <w:szCs w:val="18"/>
        </w:rPr>
        <w:t>Lors de la 3ème Communication Nationale, ce département ministériel était encore rattaché à la primature et dénommé Ministère Délégué Auprès du Premier Ministre Chargé de l'Environnement et du Développement Durable (MDEDD)</w:t>
      </w:r>
    </w:p>
  </w:footnote>
  <w:footnote w:id="4">
    <w:p w14:paraId="67007EF3" w14:textId="77777777" w:rsidR="0041639E" w:rsidRPr="0041639E" w:rsidRDefault="0041639E">
      <w:pPr>
        <w:pStyle w:val="Notedebasdepage"/>
        <w:rPr>
          <w:lang w:val="fr-CA"/>
        </w:rPr>
      </w:pPr>
      <w:r>
        <w:rPr>
          <w:rStyle w:val="Appelnotedebasdep"/>
        </w:rPr>
        <w:footnoteRef/>
      </w:r>
      <w:hyperlink r:id="rId1" w:history="1">
        <w:r w:rsidRPr="00975B54">
          <w:rPr>
            <w:rStyle w:val="Lienhypertexte"/>
            <w:sz w:val="18"/>
            <w:szCs w:val="18"/>
          </w:rPr>
          <w:t>https://faolex.fao.org/docs/pdf/Mau169999.pdf</w:t>
        </w:r>
      </w:hyperlink>
    </w:p>
  </w:footnote>
  <w:footnote w:id="5">
    <w:p w14:paraId="19132E4F" w14:textId="77777777" w:rsidR="00134E41" w:rsidRDefault="00134E41">
      <w:pPr>
        <w:pStyle w:val="Notedebasdepage"/>
      </w:pPr>
      <w:r>
        <w:rPr>
          <w:rStyle w:val="Appelnotedebasdep"/>
        </w:rPr>
        <w:footnoteRef/>
      </w:r>
      <w:r w:rsidRPr="00D804E2">
        <w:rPr>
          <w:bCs/>
          <w:iCs/>
        </w:rPr>
        <w:t>Note trimestrielle du commerce extérieur de la Mauritanie 2ème trimestre 2019. 2019. ONS. Nouakchott. 12 p.</w:t>
      </w:r>
    </w:p>
  </w:footnote>
  <w:footnote w:id="6">
    <w:p w14:paraId="0FE4541C" w14:textId="77777777" w:rsidR="00134E41" w:rsidRDefault="00134E41">
      <w:pPr>
        <w:pStyle w:val="Notedebasdepage"/>
      </w:pPr>
      <w:r>
        <w:rPr>
          <w:rStyle w:val="Appelnotedebasdep"/>
        </w:rPr>
        <w:footnoteRef/>
      </w:r>
      <w:hyperlink r:id="rId2" w:history="1">
        <w:r w:rsidRPr="00A34085">
          <w:rPr>
            <w:rStyle w:val="Lienhypertexte"/>
            <w:sz w:val="18"/>
            <w:szCs w:val="18"/>
          </w:rPr>
          <w:t>http://perspective.usherbrooke.ca/bilan/servlet/BMImportExportPays?codePays=MRT</w:t>
        </w:r>
      </w:hyperlink>
    </w:p>
  </w:footnote>
  <w:footnote w:id="7">
    <w:p w14:paraId="457B6D9E" w14:textId="77777777" w:rsidR="0065704E" w:rsidRDefault="0065704E" w:rsidP="0065704E">
      <w:pPr>
        <w:pStyle w:val="Notedebasdepage"/>
      </w:pPr>
      <w:r>
        <w:rPr>
          <w:rStyle w:val="Appelnotedebasdep"/>
        </w:rPr>
        <w:footnoteRef/>
      </w:r>
      <w:hyperlink r:id="rId3" w:history="1">
        <w:r w:rsidRPr="003A4CDE">
          <w:rPr>
            <w:rStyle w:val="Lienhypertexte"/>
            <w:sz w:val="18"/>
            <w:szCs w:val="18"/>
          </w:rPr>
          <w:t>http://fr.ami.mr/Depeche-30799.html</w:t>
        </w:r>
      </w:hyperlink>
    </w:p>
  </w:footnote>
  <w:footnote w:id="8">
    <w:p w14:paraId="2B293020" w14:textId="0C25FA85" w:rsidR="0065704E" w:rsidRDefault="0065704E" w:rsidP="0065704E">
      <w:pPr>
        <w:pStyle w:val="Notedebasdepage"/>
      </w:pPr>
      <w:r w:rsidRPr="00C3667F">
        <w:rPr>
          <w:rStyle w:val="Appelnotedebasdep"/>
          <w:sz w:val="18"/>
          <w:szCs w:val="18"/>
        </w:rPr>
        <w:footnoteRef/>
      </w:r>
      <w:hyperlink r:id="rId4" w:history="1">
        <w:r w:rsidRPr="00A34085">
          <w:rPr>
            <w:rStyle w:val="Lienhypertexte"/>
            <w:sz w:val="18"/>
            <w:szCs w:val="18"/>
          </w:rPr>
          <w:t>file:///C:/Users/Ly%20Amadou/Documents/DOC-CC/PIUP/BUR-2019/ciments-plâtre-chauxRIM.pdf</w:t>
        </w:r>
      </w:hyperlink>
    </w:p>
  </w:footnote>
  <w:footnote w:id="9">
    <w:p w14:paraId="6627FA6A" w14:textId="77777777" w:rsidR="00840632" w:rsidRPr="007311E9" w:rsidRDefault="00840632" w:rsidP="00840632">
      <w:pPr>
        <w:pStyle w:val="Notedebasdepage"/>
        <w:rPr>
          <w:rStyle w:val="Lienhypertexte"/>
        </w:rPr>
      </w:pPr>
      <w:r w:rsidRPr="007311E9">
        <w:rPr>
          <w:rStyle w:val="Lienhypertexte"/>
        </w:rPr>
        <w:footnoteRef/>
      </w:r>
      <w:r w:rsidRPr="00413CC6">
        <w:rPr>
          <w:rStyle w:val="Lienhypertexte"/>
          <w:lang w:val="en-CA"/>
        </w:rPr>
        <w:t xml:space="preserve"> Centre for Affordable Housing Finance in Africa (2023). </w:t>
      </w:r>
      <w:r w:rsidRPr="007311E9">
        <w:rPr>
          <w:rStyle w:val="Lienhypertexte"/>
        </w:rPr>
        <w:t xml:space="preserve">Annuaire 2023 : Le financement du logement en Afrique. Johannesburg, Afrique du Sud. </w:t>
      </w:r>
      <w:hyperlink r:id="rId5" w:history="1">
        <w:r w:rsidRPr="00975B54">
          <w:rPr>
            <w:rStyle w:val="Lienhypertexte"/>
            <w:sz w:val="18"/>
            <w:szCs w:val="18"/>
          </w:rPr>
          <w:t>http://housingfinanceafrica.org</w:t>
        </w:r>
      </w:hyperlink>
    </w:p>
  </w:footnote>
  <w:footnote w:id="10">
    <w:p w14:paraId="26BE9697" w14:textId="77777777" w:rsidR="00FE2B70" w:rsidRPr="007311E9" w:rsidRDefault="00FE2B70" w:rsidP="007311E9">
      <w:pPr>
        <w:pStyle w:val="Notedebasdepage"/>
        <w:rPr>
          <w:rStyle w:val="Lienhypertexte"/>
          <w:sz w:val="18"/>
          <w:szCs w:val="18"/>
        </w:rPr>
      </w:pPr>
      <w:r w:rsidRPr="007311E9">
        <w:rPr>
          <w:rStyle w:val="Lienhypertexte"/>
          <w:sz w:val="18"/>
          <w:szCs w:val="18"/>
        </w:rPr>
        <w:footnoteRef/>
      </w:r>
      <w:hyperlink r:id="rId6" w:history="1">
        <w:r w:rsidRPr="007311E9">
          <w:rPr>
            <w:rStyle w:val="Lienhypertexte"/>
            <w:sz w:val="18"/>
            <w:szCs w:val="18"/>
          </w:rPr>
          <w:t>https://www.lesechos.fr/2008/10/ciment-vicat-simplante-en-mauritanie-en-rachetant-bsa-ciment-515793</w:t>
        </w:r>
      </w:hyperlink>
    </w:p>
  </w:footnote>
  <w:footnote w:id="11">
    <w:p w14:paraId="78A3EFC6" w14:textId="77777777" w:rsidR="007311E9" w:rsidRPr="00413CC6" w:rsidRDefault="007311E9" w:rsidP="007311E9">
      <w:pPr>
        <w:pStyle w:val="Notedebasdepage"/>
        <w:rPr>
          <w:rStyle w:val="Lienhypertexte"/>
          <w:sz w:val="18"/>
          <w:szCs w:val="18"/>
          <w:lang w:val="en-CA"/>
        </w:rPr>
      </w:pPr>
      <w:r w:rsidRPr="007311E9">
        <w:rPr>
          <w:rStyle w:val="Lienhypertexte"/>
          <w:sz w:val="18"/>
          <w:szCs w:val="18"/>
        </w:rPr>
        <w:footnoteRef/>
      </w:r>
      <w:hyperlink r:id="rId7" w:history="1">
        <w:r w:rsidRPr="00413CC6">
          <w:rPr>
            <w:rStyle w:val="Lienhypertexte"/>
            <w:sz w:val="18"/>
            <w:szCs w:val="18"/>
            <w:lang w:val="en-CA"/>
          </w:rPr>
          <w:t>file:///C:/Users/a.ly/Downloads/pm-111.pdf</w:t>
        </w:r>
      </w:hyperlink>
    </w:p>
    <w:p w14:paraId="443285BA" w14:textId="77777777" w:rsidR="007311E9" w:rsidRPr="007311E9" w:rsidRDefault="007311E9">
      <w:pPr>
        <w:pStyle w:val="Notedebasdepage"/>
        <w:rPr>
          <w:lang w:val="en-CA"/>
        </w:rPr>
      </w:pPr>
    </w:p>
  </w:footnote>
  <w:footnote w:id="12">
    <w:p w14:paraId="5A96E146" w14:textId="77777777" w:rsidR="009D1B65" w:rsidRDefault="009D1B65" w:rsidP="009D1B65">
      <w:r>
        <w:rPr>
          <w:rStyle w:val="Caractresdenotedebasdepage"/>
        </w:rPr>
        <w:footnoteRef/>
      </w:r>
      <w:r>
        <w:br w:type="page"/>
      </w:r>
      <w:r w:rsidRPr="007D1E08">
        <w:rPr>
          <w:rStyle w:val="Appelnotedebasdep1"/>
          <w:sz w:val="18"/>
          <w:szCs w:val="18"/>
        </w:rPr>
        <w:tab/>
      </w:r>
      <w:r w:rsidRPr="007D1E08">
        <w:rPr>
          <w:sz w:val="18"/>
          <w:szCs w:val="18"/>
        </w:rPr>
        <w:t xml:space="preserve"> SNIM, MCM, Tasiast-Kinros et Ciment de Mauritanie</w:t>
      </w:r>
    </w:p>
  </w:footnote>
  <w:footnote w:id="13">
    <w:p w14:paraId="694D1325" w14:textId="4A600C88" w:rsidR="009D1B65" w:rsidRDefault="009D1B65" w:rsidP="009D1B65">
      <w:r>
        <w:rPr>
          <w:rStyle w:val="Caractresdenotedebasdepage"/>
        </w:rPr>
        <w:footnoteRef/>
      </w:r>
      <w:r>
        <w:br w:type="page"/>
      </w:r>
      <w:r>
        <w:rPr>
          <w:rStyle w:val="Appelnotedebasdep1"/>
        </w:rPr>
        <w:tab/>
      </w:r>
      <w:r>
        <w:rPr>
          <w:sz w:val="18"/>
          <w:szCs w:val="18"/>
        </w:rPr>
        <w:t xml:space="preserve">Chiffre </w:t>
      </w:r>
      <w:r w:rsidR="007E31B8">
        <w:rPr>
          <w:sz w:val="18"/>
          <w:szCs w:val="18"/>
        </w:rPr>
        <w:t>d’affaires</w:t>
      </w:r>
      <w:r>
        <w:rPr>
          <w:sz w:val="18"/>
          <w:szCs w:val="18"/>
        </w:rPr>
        <w:t xml:space="preserve"> est passé de 94 millions à 1500 millions entre 1999 et 2011 (</w:t>
      </w:r>
      <w:hyperlink r:id="rId8" w:history="1">
        <w:r>
          <w:rPr>
            <w:rStyle w:val="Lienhypertexte"/>
            <w:sz w:val="18"/>
            <w:szCs w:val="18"/>
          </w:rPr>
          <w:t>http://www.safa-mr.com/howto.html</w:t>
        </w:r>
      </w:hyperlink>
      <w:r>
        <w:rPr>
          <w:sz w:val="18"/>
          <w:szCs w:val="18"/>
        </w:rPr>
        <w:t>)</w:t>
      </w:r>
    </w:p>
  </w:footnote>
  <w:footnote w:id="14">
    <w:p w14:paraId="10044300" w14:textId="77777777" w:rsidR="00134E41" w:rsidRDefault="00134E41" w:rsidP="00020862">
      <w:r>
        <w:rPr>
          <w:rStyle w:val="Caractresdenotedebasdepage"/>
        </w:rPr>
        <w:footnoteRef/>
      </w:r>
      <w:r>
        <w:br w:type="page"/>
      </w:r>
      <w:r>
        <w:rPr>
          <w:rStyle w:val="Appelnotedebasdep1"/>
        </w:rPr>
        <w:tab/>
      </w:r>
      <w:r w:rsidRPr="007D1E08">
        <w:rPr>
          <w:rStyle w:val="Appelnotedebasdep1"/>
          <w:sz w:val="18"/>
          <w:szCs w:val="18"/>
        </w:rPr>
        <w:t>D’après M. Hademine, conseiller du DG de l’ENER</w:t>
      </w:r>
    </w:p>
  </w:footnote>
  <w:footnote w:id="15">
    <w:p w14:paraId="0E8B2022" w14:textId="77777777" w:rsidR="00134E41" w:rsidRPr="00E1158A" w:rsidRDefault="00134E41">
      <w:pPr>
        <w:pStyle w:val="Notedebasdepage"/>
        <w:rPr>
          <w:sz w:val="18"/>
          <w:szCs w:val="18"/>
        </w:rPr>
      </w:pPr>
      <w:r w:rsidRPr="00E1158A">
        <w:rPr>
          <w:rStyle w:val="Appelnotedebasdep"/>
          <w:sz w:val="18"/>
          <w:szCs w:val="18"/>
        </w:rPr>
        <w:footnoteRef/>
      </w:r>
      <w:hyperlink r:id="rId9" w:history="1">
        <w:r w:rsidRPr="00A34085">
          <w:rPr>
            <w:rStyle w:val="Lienhypertexte"/>
            <w:sz w:val="18"/>
            <w:szCs w:val="18"/>
          </w:rPr>
          <w:t>http://staroilgroup.com/index-liste-detail.php?page=27</w:t>
        </w:r>
      </w:hyperlink>
    </w:p>
  </w:footnote>
  <w:footnote w:id="16">
    <w:p w14:paraId="0A5C769F" w14:textId="77777777" w:rsidR="00134E41" w:rsidRDefault="00134E41">
      <w:pPr>
        <w:pStyle w:val="Notedebasdepage"/>
      </w:pPr>
      <w:r w:rsidRPr="00E1158A">
        <w:rPr>
          <w:rStyle w:val="Appelnotedebasdep"/>
          <w:sz w:val="18"/>
          <w:szCs w:val="18"/>
        </w:rPr>
        <w:footnoteRef/>
      </w:r>
      <w:hyperlink r:id="rId10" w:history="1">
        <w:r w:rsidRPr="00A34085">
          <w:rPr>
            <w:rStyle w:val="Lienhypertexte"/>
            <w:sz w:val="18"/>
            <w:szCs w:val="18"/>
          </w:rPr>
          <w:t>http://documents.worldbank.org/curated/en/120631468280433222/text/52240SR0FRENCH101Official0Use0Only1.txt</w:t>
        </w:r>
      </w:hyperlink>
    </w:p>
  </w:footnote>
  <w:footnote w:id="17">
    <w:p w14:paraId="183F6311" w14:textId="77777777" w:rsidR="00134E41" w:rsidRPr="009711DC" w:rsidRDefault="00134E41">
      <w:pPr>
        <w:rPr>
          <w:sz w:val="18"/>
          <w:szCs w:val="18"/>
        </w:rPr>
      </w:pPr>
      <w:r>
        <w:rPr>
          <w:rStyle w:val="Caractresdenotedebasdepage"/>
        </w:rPr>
        <w:footnoteRef/>
      </w:r>
      <w:r>
        <w:br w:type="page"/>
      </w:r>
      <w:r>
        <w:rPr>
          <w:rStyle w:val="Appelnotedebasdep1"/>
        </w:rPr>
        <w:tab/>
      </w:r>
      <w:r w:rsidRPr="009711DC">
        <w:rPr>
          <w:sz w:val="18"/>
          <w:szCs w:val="18"/>
        </w:rPr>
        <w:t>Source Vol. 3 des LD 2006 du GIEC, chap 4 Industrie métallique (Tableau 4.5 vol. 3, chap4, p.40)</w:t>
      </w:r>
    </w:p>
  </w:footnote>
  <w:footnote w:id="18">
    <w:p w14:paraId="52C84A95" w14:textId="77777777" w:rsidR="00134E41" w:rsidRDefault="00134E41">
      <w:r>
        <w:rPr>
          <w:rStyle w:val="Caractresdenotedebasdepage"/>
        </w:rPr>
        <w:footnoteRef/>
      </w:r>
      <w:r>
        <w:br w:type="page"/>
      </w:r>
      <w:r>
        <w:rPr>
          <w:rStyle w:val="Appelnotedebasdep1"/>
        </w:rPr>
        <w:tab/>
      </w:r>
      <w:r>
        <w:t xml:space="preserve"> http://convert-units.info/energy-and-work/joule/40.2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pStyle w:val="TitreRap"/>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2"/>
    <w:multiLevelType w:val="multilevel"/>
    <w:tmpl w:val="00000002"/>
    <w:name w:val="WWNum3"/>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720" w:hanging="360"/>
      </w:pPr>
      <w:rPr>
        <w:b/>
        <w:i w:val="0"/>
        <w:color w:val="000000"/>
        <w:spacing w:val="0"/>
        <w:position w:val="0"/>
        <w:sz w:val="22"/>
        <w:u w:val="none"/>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21"/>
    <w:lvl w:ilvl="0">
      <w:start w:val="1"/>
      <w:numFmt w:val="decimal"/>
      <w:pStyle w:val="Soustitre"/>
      <w:lvlText w:val="%1"/>
      <w:lvlJc w:val="left"/>
      <w:pPr>
        <w:tabs>
          <w:tab w:val="num" w:pos="0"/>
        </w:tabs>
        <w:ind w:left="720" w:hanging="360"/>
      </w:pPr>
      <w:rPr>
        <w:b/>
        <w:i w:val="0"/>
        <w:color w:val="000000"/>
        <w:spacing w:val="0"/>
        <w:position w:val="0"/>
        <w:sz w:val="22"/>
        <w:u w:val="none"/>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19AE9B0"/>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2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26"/>
    <w:lvl w:ilvl="0">
      <w:start w:val="1"/>
      <w:numFmt w:val="lowerLetter"/>
      <w:pStyle w:val="Soustitrerap"/>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Num27"/>
    <w:lvl w:ilvl="0">
      <w:start w:val="1"/>
      <w:numFmt w:val="upperRoman"/>
      <w:pStyle w:val="Grandtitre"/>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DC65AB7"/>
    <w:multiLevelType w:val="multilevel"/>
    <w:tmpl w:val="00000002"/>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B533FFD"/>
    <w:multiLevelType w:val="hybridMultilevel"/>
    <w:tmpl w:val="8DF44F7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4151E00"/>
    <w:multiLevelType w:val="hybridMultilevel"/>
    <w:tmpl w:val="797ACEE6"/>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83933267">
    <w:abstractNumId w:val="0"/>
  </w:num>
  <w:num w:numId="2" w16cid:durableId="546724298">
    <w:abstractNumId w:val="1"/>
  </w:num>
  <w:num w:numId="3" w16cid:durableId="1231650346">
    <w:abstractNumId w:val="2"/>
  </w:num>
  <w:num w:numId="4" w16cid:durableId="1236207021">
    <w:abstractNumId w:val="3"/>
  </w:num>
  <w:num w:numId="5" w16cid:durableId="1699894913">
    <w:abstractNumId w:val="4"/>
  </w:num>
  <w:num w:numId="6" w16cid:durableId="2132891996">
    <w:abstractNumId w:val="5"/>
  </w:num>
  <w:num w:numId="7" w16cid:durableId="270939342">
    <w:abstractNumId w:val="6"/>
  </w:num>
  <w:num w:numId="8" w16cid:durableId="375542323">
    <w:abstractNumId w:val="7"/>
  </w:num>
  <w:num w:numId="9" w16cid:durableId="522868319">
    <w:abstractNumId w:val="8"/>
  </w:num>
  <w:num w:numId="10" w16cid:durableId="806823908">
    <w:abstractNumId w:val="9"/>
  </w:num>
  <w:num w:numId="11" w16cid:durableId="1271083249">
    <w:abstractNumId w:val="10"/>
  </w:num>
  <w:num w:numId="12" w16cid:durableId="1546792150">
    <w:abstractNumId w:val="11"/>
  </w:num>
  <w:num w:numId="13" w16cid:durableId="1565144855">
    <w:abstractNumId w:val="12"/>
  </w:num>
  <w:num w:numId="14" w16cid:durableId="1796102444">
    <w:abstractNumId w:val="13"/>
  </w:num>
  <w:num w:numId="15" w16cid:durableId="1274244005">
    <w:abstractNumId w:val="14"/>
  </w:num>
  <w:num w:numId="16" w16cid:durableId="1055158688">
    <w:abstractNumId w:val="15"/>
  </w:num>
  <w:num w:numId="17" w16cid:durableId="1460761976">
    <w:abstractNumId w:val="13"/>
  </w:num>
  <w:num w:numId="18" w16cid:durableId="398946927">
    <w:abstractNumId w:val="13"/>
  </w:num>
  <w:num w:numId="19" w16cid:durableId="967510272">
    <w:abstractNumId w:val="13"/>
  </w:num>
  <w:num w:numId="20" w16cid:durableId="1760372808">
    <w:abstractNumId w:val="13"/>
  </w:num>
  <w:num w:numId="21" w16cid:durableId="1473138486">
    <w:abstractNumId w:val="13"/>
  </w:num>
  <w:num w:numId="22" w16cid:durableId="1494563856">
    <w:abstractNumId w:val="13"/>
  </w:num>
  <w:num w:numId="23" w16cid:durableId="107504612">
    <w:abstractNumId w:val="13"/>
  </w:num>
  <w:num w:numId="24" w16cid:durableId="1952472979">
    <w:abstractNumId w:val="13"/>
  </w:num>
  <w:num w:numId="25" w16cid:durableId="1780028851">
    <w:abstractNumId w:val="12"/>
  </w:num>
  <w:num w:numId="26" w16cid:durableId="121659857">
    <w:abstractNumId w:val="12"/>
  </w:num>
  <w:num w:numId="27" w16cid:durableId="1067921621">
    <w:abstractNumId w:val="16"/>
  </w:num>
  <w:num w:numId="28" w16cid:durableId="6334119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F27423"/>
    <w:rsid w:val="00010756"/>
    <w:rsid w:val="00016565"/>
    <w:rsid w:val="00020862"/>
    <w:rsid w:val="00023122"/>
    <w:rsid w:val="00023998"/>
    <w:rsid w:val="00024227"/>
    <w:rsid w:val="00027C9B"/>
    <w:rsid w:val="0003684C"/>
    <w:rsid w:val="0003719D"/>
    <w:rsid w:val="00037A31"/>
    <w:rsid w:val="0004424F"/>
    <w:rsid w:val="0004665F"/>
    <w:rsid w:val="00046A6A"/>
    <w:rsid w:val="00054D3C"/>
    <w:rsid w:val="00061377"/>
    <w:rsid w:val="000615A9"/>
    <w:rsid w:val="00061D99"/>
    <w:rsid w:val="00065956"/>
    <w:rsid w:val="00076706"/>
    <w:rsid w:val="00081906"/>
    <w:rsid w:val="000902F7"/>
    <w:rsid w:val="0009219C"/>
    <w:rsid w:val="00093AB0"/>
    <w:rsid w:val="00095323"/>
    <w:rsid w:val="00096983"/>
    <w:rsid w:val="000A0C1C"/>
    <w:rsid w:val="000A1883"/>
    <w:rsid w:val="000A25A2"/>
    <w:rsid w:val="000A35EA"/>
    <w:rsid w:val="000A4DB6"/>
    <w:rsid w:val="000A51ED"/>
    <w:rsid w:val="000B59EE"/>
    <w:rsid w:val="000B684B"/>
    <w:rsid w:val="000C17AB"/>
    <w:rsid w:val="000C2CC8"/>
    <w:rsid w:val="000C3F4B"/>
    <w:rsid w:val="000C5A77"/>
    <w:rsid w:val="000C6F9C"/>
    <w:rsid w:val="000D1D16"/>
    <w:rsid w:val="000D211F"/>
    <w:rsid w:val="000D26C1"/>
    <w:rsid w:val="000D27A9"/>
    <w:rsid w:val="000D3CBB"/>
    <w:rsid w:val="000D555C"/>
    <w:rsid w:val="000D5696"/>
    <w:rsid w:val="000E08F7"/>
    <w:rsid w:val="000E4BD2"/>
    <w:rsid w:val="000E609F"/>
    <w:rsid w:val="000F4DE7"/>
    <w:rsid w:val="000F5FA4"/>
    <w:rsid w:val="000F73DA"/>
    <w:rsid w:val="00102C49"/>
    <w:rsid w:val="00103D55"/>
    <w:rsid w:val="00103D74"/>
    <w:rsid w:val="001138C2"/>
    <w:rsid w:val="00117E18"/>
    <w:rsid w:val="001227C0"/>
    <w:rsid w:val="00123710"/>
    <w:rsid w:val="00126205"/>
    <w:rsid w:val="00126E0E"/>
    <w:rsid w:val="001308D0"/>
    <w:rsid w:val="001340E3"/>
    <w:rsid w:val="00134AA7"/>
    <w:rsid w:val="00134E41"/>
    <w:rsid w:val="00135420"/>
    <w:rsid w:val="00137A2E"/>
    <w:rsid w:val="00137B01"/>
    <w:rsid w:val="001445D8"/>
    <w:rsid w:val="001477F2"/>
    <w:rsid w:val="001514A3"/>
    <w:rsid w:val="00151A45"/>
    <w:rsid w:val="00151B25"/>
    <w:rsid w:val="00153B80"/>
    <w:rsid w:val="00153BE5"/>
    <w:rsid w:val="00164398"/>
    <w:rsid w:val="0016687C"/>
    <w:rsid w:val="00174A7A"/>
    <w:rsid w:val="001756FC"/>
    <w:rsid w:val="00185528"/>
    <w:rsid w:val="00191589"/>
    <w:rsid w:val="0019411C"/>
    <w:rsid w:val="001A0C5C"/>
    <w:rsid w:val="001A0F73"/>
    <w:rsid w:val="001C3412"/>
    <w:rsid w:val="001C5C47"/>
    <w:rsid w:val="001D1EF4"/>
    <w:rsid w:val="001D1F5B"/>
    <w:rsid w:val="001D23C9"/>
    <w:rsid w:val="001D48AD"/>
    <w:rsid w:val="001D67F4"/>
    <w:rsid w:val="001D72DF"/>
    <w:rsid w:val="001E0D9B"/>
    <w:rsid w:val="001E2631"/>
    <w:rsid w:val="001E2FF1"/>
    <w:rsid w:val="001E36B5"/>
    <w:rsid w:val="001E4459"/>
    <w:rsid w:val="001F38E4"/>
    <w:rsid w:val="001F46DB"/>
    <w:rsid w:val="0020666E"/>
    <w:rsid w:val="002104C3"/>
    <w:rsid w:val="00213930"/>
    <w:rsid w:val="002178DA"/>
    <w:rsid w:val="00220014"/>
    <w:rsid w:val="002203F3"/>
    <w:rsid w:val="00220E89"/>
    <w:rsid w:val="0024423F"/>
    <w:rsid w:val="002463E2"/>
    <w:rsid w:val="002549A6"/>
    <w:rsid w:val="00257A3C"/>
    <w:rsid w:val="00263A68"/>
    <w:rsid w:val="00272AA1"/>
    <w:rsid w:val="002749CF"/>
    <w:rsid w:val="00280846"/>
    <w:rsid w:val="00281204"/>
    <w:rsid w:val="002824DB"/>
    <w:rsid w:val="00290F76"/>
    <w:rsid w:val="00292A1E"/>
    <w:rsid w:val="002A2E60"/>
    <w:rsid w:val="002A54E4"/>
    <w:rsid w:val="002A6128"/>
    <w:rsid w:val="002B5444"/>
    <w:rsid w:val="002C2A37"/>
    <w:rsid w:val="002C4319"/>
    <w:rsid w:val="002D2666"/>
    <w:rsid w:val="002D28C6"/>
    <w:rsid w:val="002D5FE9"/>
    <w:rsid w:val="002E5C0E"/>
    <w:rsid w:val="002F083A"/>
    <w:rsid w:val="002F13AC"/>
    <w:rsid w:val="002F1EFE"/>
    <w:rsid w:val="002F6148"/>
    <w:rsid w:val="00305826"/>
    <w:rsid w:val="00311798"/>
    <w:rsid w:val="00315B84"/>
    <w:rsid w:val="0031771F"/>
    <w:rsid w:val="00323F9A"/>
    <w:rsid w:val="00325969"/>
    <w:rsid w:val="00325D70"/>
    <w:rsid w:val="0033012D"/>
    <w:rsid w:val="00330F7B"/>
    <w:rsid w:val="00331AB4"/>
    <w:rsid w:val="00342E19"/>
    <w:rsid w:val="003603B2"/>
    <w:rsid w:val="003605CB"/>
    <w:rsid w:val="003633E0"/>
    <w:rsid w:val="00363443"/>
    <w:rsid w:val="00365761"/>
    <w:rsid w:val="00366B3A"/>
    <w:rsid w:val="00371814"/>
    <w:rsid w:val="003720C3"/>
    <w:rsid w:val="003803B1"/>
    <w:rsid w:val="003826F7"/>
    <w:rsid w:val="003828A3"/>
    <w:rsid w:val="00383AD9"/>
    <w:rsid w:val="00383E64"/>
    <w:rsid w:val="00385406"/>
    <w:rsid w:val="0039113A"/>
    <w:rsid w:val="003A27FB"/>
    <w:rsid w:val="003A4CDE"/>
    <w:rsid w:val="003B0964"/>
    <w:rsid w:val="003B361E"/>
    <w:rsid w:val="003B38F0"/>
    <w:rsid w:val="003C7F29"/>
    <w:rsid w:val="003D08A5"/>
    <w:rsid w:val="003F046B"/>
    <w:rsid w:val="003F065F"/>
    <w:rsid w:val="003F1589"/>
    <w:rsid w:val="00400A12"/>
    <w:rsid w:val="0040135C"/>
    <w:rsid w:val="00401785"/>
    <w:rsid w:val="00402D4B"/>
    <w:rsid w:val="00405F29"/>
    <w:rsid w:val="004133EF"/>
    <w:rsid w:val="00413CC6"/>
    <w:rsid w:val="00414254"/>
    <w:rsid w:val="004150EB"/>
    <w:rsid w:val="00415608"/>
    <w:rsid w:val="0041639E"/>
    <w:rsid w:val="00425AFF"/>
    <w:rsid w:val="004306DB"/>
    <w:rsid w:val="00431BF6"/>
    <w:rsid w:val="00432170"/>
    <w:rsid w:val="00433B3B"/>
    <w:rsid w:val="004353F0"/>
    <w:rsid w:val="0043643F"/>
    <w:rsid w:val="00436B7C"/>
    <w:rsid w:val="004422F0"/>
    <w:rsid w:val="00445CE0"/>
    <w:rsid w:val="00446415"/>
    <w:rsid w:val="00446541"/>
    <w:rsid w:val="00450CEF"/>
    <w:rsid w:val="004514D9"/>
    <w:rsid w:val="00452A4C"/>
    <w:rsid w:val="00452BEC"/>
    <w:rsid w:val="00460AFC"/>
    <w:rsid w:val="00461403"/>
    <w:rsid w:val="00461682"/>
    <w:rsid w:val="00466889"/>
    <w:rsid w:val="0047266C"/>
    <w:rsid w:val="0048063B"/>
    <w:rsid w:val="00480DAE"/>
    <w:rsid w:val="0048156D"/>
    <w:rsid w:val="00486B4C"/>
    <w:rsid w:val="00487A87"/>
    <w:rsid w:val="00491D1F"/>
    <w:rsid w:val="00494926"/>
    <w:rsid w:val="004A2749"/>
    <w:rsid w:val="004B44AE"/>
    <w:rsid w:val="004B532E"/>
    <w:rsid w:val="004C0327"/>
    <w:rsid w:val="004D2746"/>
    <w:rsid w:val="004D5AA8"/>
    <w:rsid w:val="004D78CC"/>
    <w:rsid w:val="004E011C"/>
    <w:rsid w:val="004E231F"/>
    <w:rsid w:val="004E3712"/>
    <w:rsid w:val="004E4F80"/>
    <w:rsid w:val="004E63DA"/>
    <w:rsid w:val="00512710"/>
    <w:rsid w:val="0051436A"/>
    <w:rsid w:val="00521CEA"/>
    <w:rsid w:val="00537D90"/>
    <w:rsid w:val="00540B76"/>
    <w:rsid w:val="0054158E"/>
    <w:rsid w:val="00547337"/>
    <w:rsid w:val="00547BB9"/>
    <w:rsid w:val="005657E0"/>
    <w:rsid w:val="00565AC5"/>
    <w:rsid w:val="00565C0D"/>
    <w:rsid w:val="00572EB7"/>
    <w:rsid w:val="00582DC0"/>
    <w:rsid w:val="005955EF"/>
    <w:rsid w:val="00596C86"/>
    <w:rsid w:val="00596FA9"/>
    <w:rsid w:val="005A2BCC"/>
    <w:rsid w:val="005A30E8"/>
    <w:rsid w:val="005B2902"/>
    <w:rsid w:val="005B304E"/>
    <w:rsid w:val="005B6619"/>
    <w:rsid w:val="005B6F41"/>
    <w:rsid w:val="005C112F"/>
    <w:rsid w:val="005C2D8A"/>
    <w:rsid w:val="005D1333"/>
    <w:rsid w:val="005D1BB6"/>
    <w:rsid w:val="005D46E5"/>
    <w:rsid w:val="005D554B"/>
    <w:rsid w:val="005D6859"/>
    <w:rsid w:val="005D75A0"/>
    <w:rsid w:val="005D799C"/>
    <w:rsid w:val="005E7046"/>
    <w:rsid w:val="005E781F"/>
    <w:rsid w:val="005F1EE9"/>
    <w:rsid w:val="005F26E1"/>
    <w:rsid w:val="005F7E14"/>
    <w:rsid w:val="00602A1B"/>
    <w:rsid w:val="00615A27"/>
    <w:rsid w:val="0062278A"/>
    <w:rsid w:val="00622BBA"/>
    <w:rsid w:val="00624F58"/>
    <w:rsid w:val="006271E7"/>
    <w:rsid w:val="00632103"/>
    <w:rsid w:val="0063359E"/>
    <w:rsid w:val="00640C9F"/>
    <w:rsid w:val="006413F8"/>
    <w:rsid w:val="00643AAF"/>
    <w:rsid w:val="00650C7B"/>
    <w:rsid w:val="00651B3E"/>
    <w:rsid w:val="0065285D"/>
    <w:rsid w:val="006551D1"/>
    <w:rsid w:val="0065704E"/>
    <w:rsid w:val="00660E1F"/>
    <w:rsid w:val="00660FE6"/>
    <w:rsid w:val="00661D20"/>
    <w:rsid w:val="0066303F"/>
    <w:rsid w:val="00673764"/>
    <w:rsid w:val="00681DC7"/>
    <w:rsid w:val="00682973"/>
    <w:rsid w:val="00683FEA"/>
    <w:rsid w:val="00685905"/>
    <w:rsid w:val="00686242"/>
    <w:rsid w:val="00687723"/>
    <w:rsid w:val="00690860"/>
    <w:rsid w:val="00693355"/>
    <w:rsid w:val="006940B8"/>
    <w:rsid w:val="00696197"/>
    <w:rsid w:val="006962A0"/>
    <w:rsid w:val="0069784E"/>
    <w:rsid w:val="006A3941"/>
    <w:rsid w:val="006A3F72"/>
    <w:rsid w:val="006A43EC"/>
    <w:rsid w:val="006A44D0"/>
    <w:rsid w:val="006A5D39"/>
    <w:rsid w:val="006B4F86"/>
    <w:rsid w:val="006B5FF2"/>
    <w:rsid w:val="006C06A4"/>
    <w:rsid w:val="006D3B46"/>
    <w:rsid w:val="006E4F4E"/>
    <w:rsid w:val="006E4FE6"/>
    <w:rsid w:val="006F3249"/>
    <w:rsid w:val="006F7B8E"/>
    <w:rsid w:val="00702451"/>
    <w:rsid w:val="00710403"/>
    <w:rsid w:val="00716982"/>
    <w:rsid w:val="00730FC3"/>
    <w:rsid w:val="007311E9"/>
    <w:rsid w:val="00736618"/>
    <w:rsid w:val="0073697C"/>
    <w:rsid w:val="00737496"/>
    <w:rsid w:val="00750544"/>
    <w:rsid w:val="00757F4E"/>
    <w:rsid w:val="00760C28"/>
    <w:rsid w:val="00761F51"/>
    <w:rsid w:val="007772C9"/>
    <w:rsid w:val="00780EBD"/>
    <w:rsid w:val="00785CA8"/>
    <w:rsid w:val="00796550"/>
    <w:rsid w:val="007A1087"/>
    <w:rsid w:val="007A2D4F"/>
    <w:rsid w:val="007A3996"/>
    <w:rsid w:val="007A5646"/>
    <w:rsid w:val="007A58B4"/>
    <w:rsid w:val="007A5A2C"/>
    <w:rsid w:val="007B28E2"/>
    <w:rsid w:val="007C1997"/>
    <w:rsid w:val="007C6254"/>
    <w:rsid w:val="007D04C5"/>
    <w:rsid w:val="007D1E08"/>
    <w:rsid w:val="007D2802"/>
    <w:rsid w:val="007D3FCA"/>
    <w:rsid w:val="007E31B8"/>
    <w:rsid w:val="007E5B5B"/>
    <w:rsid w:val="007F34E2"/>
    <w:rsid w:val="007F64C6"/>
    <w:rsid w:val="0080117B"/>
    <w:rsid w:val="00803472"/>
    <w:rsid w:val="008060EE"/>
    <w:rsid w:val="008105C0"/>
    <w:rsid w:val="00811EC0"/>
    <w:rsid w:val="008172B2"/>
    <w:rsid w:val="0082080D"/>
    <w:rsid w:val="008213C9"/>
    <w:rsid w:val="00821407"/>
    <w:rsid w:val="00823280"/>
    <w:rsid w:val="00825771"/>
    <w:rsid w:val="008369F6"/>
    <w:rsid w:val="00840535"/>
    <w:rsid w:val="00840632"/>
    <w:rsid w:val="00840B6A"/>
    <w:rsid w:val="00845119"/>
    <w:rsid w:val="00845A16"/>
    <w:rsid w:val="00850C51"/>
    <w:rsid w:val="008517C0"/>
    <w:rsid w:val="00854272"/>
    <w:rsid w:val="00856A32"/>
    <w:rsid w:val="00856E0A"/>
    <w:rsid w:val="00861352"/>
    <w:rsid w:val="008621D1"/>
    <w:rsid w:val="00862509"/>
    <w:rsid w:val="00863AE7"/>
    <w:rsid w:val="00863B91"/>
    <w:rsid w:val="00865614"/>
    <w:rsid w:val="008674B9"/>
    <w:rsid w:val="0088471B"/>
    <w:rsid w:val="00893779"/>
    <w:rsid w:val="00894C92"/>
    <w:rsid w:val="008A196A"/>
    <w:rsid w:val="008A246D"/>
    <w:rsid w:val="008A508C"/>
    <w:rsid w:val="008A52C6"/>
    <w:rsid w:val="008A6FDF"/>
    <w:rsid w:val="008B3947"/>
    <w:rsid w:val="008B3C21"/>
    <w:rsid w:val="008B582A"/>
    <w:rsid w:val="008C208B"/>
    <w:rsid w:val="008C4350"/>
    <w:rsid w:val="008C4C35"/>
    <w:rsid w:val="008C7E57"/>
    <w:rsid w:val="008C7F91"/>
    <w:rsid w:val="008D2B65"/>
    <w:rsid w:val="008D3533"/>
    <w:rsid w:val="008D3AAA"/>
    <w:rsid w:val="008D4894"/>
    <w:rsid w:val="008D6791"/>
    <w:rsid w:val="008E1A78"/>
    <w:rsid w:val="008E2DFA"/>
    <w:rsid w:val="008E31EF"/>
    <w:rsid w:val="008E4A7A"/>
    <w:rsid w:val="008E6B9C"/>
    <w:rsid w:val="008E6F5A"/>
    <w:rsid w:val="008F00A7"/>
    <w:rsid w:val="008F1BCD"/>
    <w:rsid w:val="008F2A07"/>
    <w:rsid w:val="008F58AA"/>
    <w:rsid w:val="008F70E0"/>
    <w:rsid w:val="00900FFC"/>
    <w:rsid w:val="00905F4D"/>
    <w:rsid w:val="0090626D"/>
    <w:rsid w:val="009105BD"/>
    <w:rsid w:val="00915B33"/>
    <w:rsid w:val="00916CF6"/>
    <w:rsid w:val="0092023D"/>
    <w:rsid w:val="00941A08"/>
    <w:rsid w:val="00942372"/>
    <w:rsid w:val="009449F9"/>
    <w:rsid w:val="009453FF"/>
    <w:rsid w:val="0094588D"/>
    <w:rsid w:val="00947FBA"/>
    <w:rsid w:val="00955B3E"/>
    <w:rsid w:val="00957D1D"/>
    <w:rsid w:val="009657A9"/>
    <w:rsid w:val="00965887"/>
    <w:rsid w:val="009711DC"/>
    <w:rsid w:val="00974106"/>
    <w:rsid w:val="00974EA3"/>
    <w:rsid w:val="009758DA"/>
    <w:rsid w:val="00980C51"/>
    <w:rsid w:val="00982953"/>
    <w:rsid w:val="00982C8D"/>
    <w:rsid w:val="00984AEB"/>
    <w:rsid w:val="00984F52"/>
    <w:rsid w:val="009A098D"/>
    <w:rsid w:val="009A5487"/>
    <w:rsid w:val="009A7E7F"/>
    <w:rsid w:val="009B7D70"/>
    <w:rsid w:val="009C05C4"/>
    <w:rsid w:val="009C1022"/>
    <w:rsid w:val="009C2258"/>
    <w:rsid w:val="009C3184"/>
    <w:rsid w:val="009D1B65"/>
    <w:rsid w:val="009D366C"/>
    <w:rsid w:val="009D44F9"/>
    <w:rsid w:val="009D6ECA"/>
    <w:rsid w:val="009E0540"/>
    <w:rsid w:val="009E1E47"/>
    <w:rsid w:val="009E22FC"/>
    <w:rsid w:val="009E3895"/>
    <w:rsid w:val="009E6B8A"/>
    <w:rsid w:val="009F239C"/>
    <w:rsid w:val="009F6ABE"/>
    <w:rsid w:val="009F72EE"/>
    <w:rsid w:val="00A01E35"/>
    <w:rsid w:val="00A10AE6"/>
    <w:rsid w:val="00A10D53"/>
    <w:rsid w:val="00A1199F"/>
    <w:rsid w:val="00A12FD2"/>
    <w:rsid w:val="00A146E2"/>
    <w:rsid w:val="00A147C5"/>
    <w:rsid w:val="00A15BC1"/>
    <w:rsid w:val="00A22574"/>
    <w:rsid w:val="00A24977"/>
    <w:rsid w:val="00A2575D"/>
    <w:rsid w:val="00A312BB"/>
    <w:rsid w:val="00A31DA1"/>
    <w:rsid w:val="00A32158"/>
    <w:rsid w:val="00A40563"/>
    <w:rsid w:val="00A42C6B"/>
    <w:rsid w:val="00A4712C"/>
    <w:rsid w:val="00A519A6"/>
    <w:rsid w:val="00A545C1"/>
    <w:rsid w:val="00A5707A"/>
    <w:rsid w:val="00A57724"/>
    <w:rsid w:val="00A615E8"/>
    <w:rsid w:val="00A654AB"/>
    <w:rsid w:val="00A65925"/>
    <w:rsid w:val="00A6799F"/>
    <w:rsid w:val="00A70FD3"/>
    <w:rsid w:val="00A72FF7"/>
    <w:rsid w:val="00A73356"/>
    <w:rsid w:val="00A73C40"/>
    <w:rsid w:val="00A86570"/>
    <w:rsid w:val="00A91452"/>
    <w:rsid w:val="00A92DF0"/>
    <w:rsid w:val="00A9401E"/>
    <w:rsid w:val="00A94B92"/>
    <w:rsid w:val="00A95806"/>
    <w:rsid w:val="00AA0AEE"/>
    <w:rsid w:val="00AB1A51"/>
    <w:rsid w:val="00AB1B0D"/>
    <w:rsid w:val="00AC27C9"/>
    <w:rsid w:val="00AC33C6"/>
    <w:rsid w:val="00AC6FD3"/>
    <w:rsid w:val="00AF0239"/>
    <w:rsid w:val="00AF6C39"/>
    <w:rsid w:val="00B02B65"/>
    <w:rsid w:val="00B02B7B"/>
    <w:rsid w:val="00B04CDB"/>
    <w:rsid w:val="00B11067"/>
    <w:rsid w:val="00B16CFD"/>
    <w:rsid w:val="00B17E86"/>
    <w:rsid w:val="00B258D4"/>
    <w:rsid w:val="00B31129"/>
    <w:rsid w:val="00B402F1"/>
    <w:rsid w:val="00B41364"/>
    <w:rsid w:val="00B542D7"/>
    <w:rsid w:val="00B55F24"/>
    <w:rsid w:val="00B56BAE"/>
    <w:rsid w:val="00B60BF5"/>
    <w:rsid w:val="00B6187C"/>
    <w:rsid w:val="00B65941"/>
    <w:rsid w:val="00B70BA1"/>
    <w:rsid w:val="00B74CB7"/>
    <w:rsid w:val="00B74FA1"/>
    <w:rsid w:val="00B80853"/>
    <w:rsid w:val="00B80DA9"/>
    <w:rsid w:val="00B828D9"/>
    <w:rsid w:val="00B87496"/>
    <w:rsid w:val="00BB202B"/>
    <w:rsid w:val="00BB27B6"/>
    <w:rsid w:val="00BB3530"/>
    <w:rsid w:val="00BB6766"/>
    <w:rsid w:val="00BC061C"/>
    <w:rsid w:val="00BC062C"/>
    <w:rsid w:val="00BC2557"/>
    <w:rsid w:val="00BC7EC9"/>
    <w:rsid w:val="00BD0C2D"/>
    <w:rsid w:val="00BD37E3"/>
    <w:rsid w:val="00BD3F72"/>
    <w:rsid w:val="00BE2750"/>
    <w:rsid w:val="00BE2CAC"/>
    <w:rsid w:val="00BE627F"/>
    <w:rsid w:val="00BE66C2"/>
    <w:rsid w:val="00BF3914"/>
    <w:rsid w:val="00BF5A60"/>
    <w:rsid w:val="00BF72B9"/>
    <w:rsid w:val="00C01054"/>
    <w:rsid w:val="00C01368"/>
    <w:rsid w:val="00C03556"/>
    <w:rsid w:val="00C04D82"/>
    <w:rsid w:val="00C05339"/>
    <w:rsid w:val="00C1039E"/>
    <w:rsid w:val="00C12C6D"/>
    <w:rsid w:val="00C16E09"/>
    <w:rsid w:val="00C1798B"/>
    <w:rsid w:val="00C23D57"/>
    <w:rsid w:val="00C32643"/>
    <w:rsid w:val="00C33D82"/>
    <w:rsid w:val="00C35673"/>
    <w:rsid w:val="00C3667F"/>
    <w:rsid w:val="00C44024"/>
    <w:rsid w:val="00C44574"/>
    <w:rsid w:val="00C44799"/>
    <w:rsid w:val="00C461EA"/>
    <w:rsid w:val="00C536F2"/>
    <w:rsid w:val="00C57031"/>
    <w:rsid w:val="00C5715C"/>
    <w:rsid w:val="00C62805"/>
    <w:rsid w:val="00C62C51"/>
    <w:rsid w:val="00C67F0E"/>
    <w:rsid w:val="00C7040A"/>
    <w:rsid w:val="00C73A35"/>
    <w:rsid w:val="00C75CAC"/>
    <w:rsid w:val="00C80F5F"/>
    <w:rsid w:val="00C85F56"/>
    <w:rsid w:val="00C96C0E"/>
    <w:rsid w:val="00CA188C"/>
    <w:rsid w:val="00CB434C"/>
    <w:rsid w:val="00CB7963"/>
    <w:rsid w:val="00CC002F"/>
    <w:rsid w:val="00CC268F"/>
    <w:rsid w:val="00CC3A43"/>
    <w:rsid w:val="00CC5C4F"/>
    <w:rsid w:val="00CD2BFF"/>
    <w:rsid w:val="00CD39E1"/>
    <w:rsid w:val="00CE42FC"/>
    <w:rsid w:val="00CF2971"/>
    <w:rsid w:val="00D06CBC"/>
    <w:rsid w:val="00D10B02"/>
    <w:rsid w:val="00D15D02"/>
    <w:rsid w:val="00D16BEE"/>
    <w:rsid w:val="00D32AF7"/>
    <w:rsid w:val="00D34903"/>
    <w:rsid w:val="00D379A1"/>
    <w:rsid w:val="00D44779"/>
    <w:rsid w:val="00D55EBC"/>
    <w:rsid w:val="00D57578"/>
    <w:rsid w:val="00D57D10"/>
    <w:rsid w:val="00D67BB1"/>
    <w:rsid w:val="00D737BC"/>
    <w:rsid w:val="00D80350"/>
    <w:rsid w:val="00D804E2"/>
    <w:rsid w:val="00D81D95"/>
    <w:rsid w:val="00D83484"/>
    <w:rsid w:val="00D848DD"/>
    <w:rsid w:val="00D85CEA"/>
    <w:rsid w:val="00D92B32"/>
    <w:rsid w:val="00DA2377"/>
    <w:rsid w:val="00DA5B91"/>
    <w:rsid w:val="00DB2043"/>
    <w:rsid w:val="00DB4E43"/>
    <w:rsid w:val="00DB771D"/>
    <w:rsid w:val="00DC00C2"/>
    <w:rsid w:val="00DC2743"/>
    <w:rsid w:val="00DC63F3"/>
    <w:rsid w:val="00DC64D7"/>
    <w:rsid w:val="00DD38C2"/>
    <w:rsid w:val="00DD46EB"/>
    <w:rsid w:val="00DD4BCD"/>
    <w:rsid w:val="00DD5670"/>
    <w:rsid w:val="00DE0080"/>
    <w:rsid w:val="00DE2284"/>
    <w:rsid w:val="00DE4F84"/>
    <w:rsid w:val="00DF65DE"/>
    <w:rsid w:val="00E038EC"/>
    <w:rsid w:val="00E04F1A"/>
    <w:rsid w:val="00E1158A"/>
    <w:rsid w:val="00E17D0E"/>
    <w:rsid w:val="00E301A7"/>
    <w:rsid w:val="00E428ED"/>
    <w:rsid w:val="00E507FF"/>
    <w:rsid w:val="00E522FF"/>
    <w:rsid w:val="00E6222D"/>
    <w:rsid w:val="00E67295"/>
    <w:rsid w:val="00E70A18"/>
    <w:rsid w:val="00E748C7"/>
    <w:rsid w:val="00E750CF"/>
    <w:rsid w:val="00E818B6"/>
    <w:rsid w:val="00E8637A"/>
    <w:rsid w:val="00E94790"/>
    <w:rsid w:val="00E95DA4"/>
    <w:rsid w:val="00EA0A12"/>
    <w:rsid w:val="00EA3E88"/>
    <w:rsid w:val="00EB0464"/>
    <w:rsid w:val="00EB16B3"/>
    <w:rsid w:val="00EB328B"/>
    <w:rsid w:val="00EB497A"/>
    <w:rsid w:val="00EC00B8"/>
    <w:rsid w:val="00EC1037"/>
    <w:rsid w:val="00EC5C30"/>
    <w:rsid w:val="00EC7457"/>
    <w:rsid w:val="00ED20B6"/>
    <w:rsid w:val="00ED2C08"/>
    <w:rsid w:val="00ED475F"/>
    <w:rsid w:val="00EE1EF6"/>
    <w:rsid w:val="00EE3A96"/>
    <w:rsid w:val="00EE480A"/>
    <w:rsid w:val="00EE51B7"/>
    <w:rsid w:val="00EE55B1"/>
    <w:rsid w:val="00EE7F4C"/>
    <w:rsid w:val="00F061D4"/>
    <w:rsid w:val="00F06B8A"/>
    <w:rsid w:val="00F13239"/>
    <w:rsid w:val="00F2056C"/>
    <w:rsid w:val="00F224C8"/>
    <w:rsid w:val="00F24C70"/>
    <w:rsid w:val="00F27423"/>
    <w:rsid w:val="00F31298"/>
    <w:rsid w:val="00F419DB"/>
    <w:rsid w:val="00F427C9"/>
    <w:rsid w:val="00F45DCD"/>
    <w:rsid w:val="00F56E34"/>
    <w:rsid w:val="00F570DC"/>
    <w:rsid w:val="00F57DD0"/>
    <w:rsid w:val="00F628D5"/>
    <w:rsid w:val="00F663BC"/>
    <w:rsid w:val="00F70912"/>
    <w:rsid w:val="00F729FC"/>
    <w:rsid w:val="00F72FD0"/>
    <w:rsid w:val="00F74189"/>
    <w:rsid w:val="00F76D05"/>
    <w:rsid w:val="00F95D52"/>
    <w:rsid w:val="00F97393"/>
    <w:rsid w:val="00F97666"/>
    <w:rsid w:val="00FA09B7"/>
    <w:rsid w:val="00FA0BCA"/>
    <w:rsid w:val="00FA1ECB"/>
    <w:rsid w:val="00FA4757"/>
    <w:rsid w:val="00FA7982"/>
    <w:rsid w:val="00FA7F7E"/>
    <w:rsid w:val="00FB27D5"/>
    <w:rsid w:val="00FC1BDE"/>
    <w:rsid w:val="00FC1E35"/>
    <w:rsid w:val="00FC411D"/>
    <w:rsid w:val="00FC5A1B"/>
    <w:rsid w:val="00FC62D5"/>
    <w:rsid w:val="00FD0493"/>
    <w:rsid w:val="00FD7405"/>
    <w:rsid w:val="00FE2B70"/>
    <w:rsid w:val="00FE64A5"/>
    <w:rsid w:val="00FF1641"/>
    <w:rsid w:val="00FF38D7"/>
    <w:rsid w:val="00FF3927"/>
    <w:rsid w:val="00FF7CC3"/>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5071FD"/>
  <w15:docId w15:val="{4B3BC66F-8F47-4166-A6B3-3FFB29C7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710"/>
    <w:pPr>
      <w:suppressAutoHyphens/>
      <w:spacing w:after="200" w:line="276" w:lineRule="auto"/>
    </w:pPr>
    <w:rPr>
      <w:rFonts w:ascii="Calibri" w:eastAsia="Droid Sans Fallback" w:hAnsi="Calibri" w:cs="font275"/>
      <w:kern w:val="1"/>
      <w:sz w:val="22"/>
      <w:szCs w:val="22"/>
      <w:lang w:eastAsia="en-US"/>
    </w:rPr>
  </w:style>
  <w:style w:type="paragraph" w:styleId="Titre1">
    <w:name w:val="heading 1"/>
    <w:basedOn w:val="Normal"/>
    <w:next w:val="Normal"/>
    <w:link w:val="Titre1Car"/>
    <w:uiPriority w:val="9"/>
    <w:qFormat/>
    <w:rsid w:val="000239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qFormat/>
    <w:rsid w:val="00DC63F3"/>
    <w:pPr>
      <w:keepNext/>
      <w:keepLines/>
      <w:spacing w:before="200" w:after="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DC63F3"/>
  </w:style>
  <w:style w:type="character" w:customStyle="1" w:styleId="BalloonTextChar">
    <w:name w:val="Balloon Text Char"/>
    <w:rsid w:val="00DC63F3"/>
    <w:rPr>
      <w:rFonts w:ascii="Tahoma" w:hAnsi="Tahoma" w:cs="Tahoma"/>
      <w:sz w:val="16"/>
      <w:szCs w:val="16"/>
    </w:rPr>
  </w:style>
  <w:style w:type="character" w:styleId="Lienhypertexte">
    <w:name w:val="Hyperlink"/>
    <w:uiPriority w:val="99"/>
    <w:rsid w:val="00DC63F3"/>
    <w:rPr>
      <w:color w:val="0000FF"/>
      <w:u w:val="single"/>
    </w:rPr>
  </w:style>
  <w:style w:type="character" w:customStyle="1" w:styleId="FootnoteTextChar">
    <w:name w:val="Footnote Text Char"/>
    <w:rsid w:val="00DC63F3"/>
    <w:rPr>
      <w:sz w:val="20"/>
      <w:szCs w:val="20"/>
    </w:rPr>
  </w:style>
  <w:style w:type="character" w:customStyle="1" w:styleId="Appelnotedebasdep1">
    <w:name w:val="Appel note de bas de p.1"/>
    <w:rsid w:val="00DC63F3"/>
    <w:rPr>
      <w:vertAlign w:val="superscript"/>
    </w:rPr>
  </w:style>
  <w:style w:type="character" w:customStyle="1" w:styleId="apple-converted-space">
    <w:name w:val="apple-converted-space"/>
    <w:basedOn w:val="Policepardfaut1"/>
    <w:rsid w:val="00DC63F3"/>
  </w:style>
  <w:style w:type="character" w:customStyle="1" w:styleId="HeaderChar">
    <w:name w:val="Header Char"/>
    <w:rsid w:val="00DC63F3"/>
    <w:rPr>
      <w:rFonts w:ascii="Times New Roman" w:eastAsia="Times New Roman" w:hAnsi="Times New Roman" w:cs="Times New Roman"/>
      <w:sz w:val="24"/>
      <w:szCs w:val="24"/>
      <w:lang w:val="fr-CA" w:eastAsia="fr-FR"/>
    </w:rPr>
  </w:style>
  <w:style w:type="character" w:customStyle="1" w:styleId="FooterChar">
    <w:name w:val="Footer Char"/>
    <w:rsid w:val="00DC63F3"/>
    <w:rPr>
      <w:rFonts w:ascii="Times New Roman" w:eastAsia="Calibri" w:hAnsi="Times New Roman" w:cs="Times New Roman"/>
      <w:sz w:val="24"/>
      <w:szCs w:val="24"/>
      <w:lang w:val="fr-CA"/>
    </w:rPr>
  </w:style>
  <w:style w:type="character" w:customStyle="1" w:styleId="NoSpacingChar">
    <w:name w:val="No Spacing Char"/>
    <w:basedOn w:val="Policepardfaut1"/>
    <w:rsid w:val="00DC63F3"/>
  </w:style>
  <w:style w:type="character" w:styleId="Accentuation">
    <w:name w:val="Emphasis"/>
    <w:qFormat/>
    <w:rsid w:val="00DC63F3"/>
    <w:rPr>
      <w:i/>
      <w:iCs/>
    </w:rPr>
  </w:style>
  <w:style w:type="character" w:customStyle="1" w:styleId="lev1">
    <w:name w:val="Élevé1"/>
    <w:rsid w:val="00DC63F3"/>
    <w:rPr>
      <w:b/>
    </w:rPr>
  </w:style>
  <w:style w:type="character" w:customStyle="1" w:styleId="CitationHTML1">
    <w:name w:val="Citation HTML1"/>
    <w:rsid w:val="00DC63F3"/>
    <w:rPr>
      <w:i/>
    </w:rPr>
  </w:style>
  <w:style w:type="character" w:customStyle="1" w:styleId="st">
    <w:name w:val="st"/>
    <w:basedOn w:val="Policepardfaut1"/>
    <w:rsid w:val="00DC63F3"/>
  </w:style>
  <w:style w:type="character" w:customStyle="1" w:styleId="Lienhypertextesuivivisit1">
    <w:name w:val="Lien hypertexte suivi visité1"/>
    <w:rsid w:val="00DC63F3"/>
    <w:rPr>
      <w:color w:val="800080"/>
      <w:u w:val="single"/>
    </w:rPr>
  </w:style>
  <w:style w:type="character" w:customStyle="1" w:styleId="BodyTextChar">
    <w:name w:val="Body Text Char"/>
    <w:rsid w:val="00DC63F3"/>
    <w:rPr>
      <w:rFonts w:ascii="Times New Roman" w:eastAsia="Times New Roman" w:hAnsi="Times New Roman" w:cs="Times New Roman"/>
      <w:sz w:val="24"/>
      <w:szCs w:val="24"/>
      <w:lang w:val="en-US"/>
    </w:rPr>
  </w:style>
  <w:style w:type="character" w:customStyle="1" w:styleId="Heading3Char">
    <w:name w:val="Heading 3 Char"/>
    <w:rsid w:val="00DC63F3"/>
    <w:rPr>
      <w:rFonts w:ascii="Cambria" w:hAnsi="Cambria" w:cs="font275"/>
      <w:b/>
      <w:bCs/>
      <w:color w:val="4F81BD"/>
    </w:rPr>
  </w:style>
  <w:style w:type="character" w:customStyle="1" w:styleId="ListLabel1">
    <w:name w:val="ListLabel 1"/>
    <w:rsid w:val="00DC63F3"/>
    <w:rPr>
      <w:rFonts w:cs="Calibri"/>
    </w:rPr>
  </w:style>
  <w:style w:type="character" w:customStyle="1" w:styleId="ListLabel2">
    <w:name w:val="ListLabel 2"/>
    <w:rsid w:val="00DC63F3"/>
    <w:rPr>
      <w:rFonts w:cs="Courier New"/>
    </w:rPr>
  </w:style>
  <w:style w:type="character" w:customStyle="1" w:styleId="ListLabel3">
    <w:name w:val="ListLabel 3"/>
    <w:rsid w:val="00DC63F3"/>
    <w:rPr>
      <w:b/>
    </w:rPr>
  </w:style>
  <w:style w:type="character" w:customStyle="1" w:styleId="ListLabel4">
    <w:name w:val="ListLabel 4"/>
    <w:rsid w:val="00DC63F3"/>
    <w:rPr>
      <w:b/>
      <w:i w:val="0"/>
      <w:color w:val="000000"/>
      <w:spacing w:val="0"/>
      <w:position w:val="0"/>
      <w:sz w:val="22"/>
      <w:u w:val="none"/>
      <w:vertAlign w:val="baseline"/>
    </w:rPr>
  </w:style>
  <w:style w:type="character" w:customStyle="1" w:styleId="ListLabel5">
    <w:name w:val="ListLabel 5"/>
    <w:rsid w:val="00DC63F3"/>
    <w:rPr>
      <w:rFonts w:eastAsia="Calibri" w:cs="Calibri"/>
    </w:rPr>
  </w:style>
  <w:style w:type="character" w:customStyle="1" w:styleId="ListLabel6">
    <w:name w:val="ListLabel 6"/>
    <w:rsid w:val="00DC63F3"/>
    <w:rPr>
      <w:rFonts w:cs="Times New Roman"/>
    </w:rPr>
  </w:style>
  <w:style w:type="character" w:customStyle="1" w:styleId="ListLabel7">
    <w:name w:val="ListLabel 7"/>
    <w:rsid w:val="00DC63F3"/>
    <w:rPr>
      <w:rFonts w:eastAsia="Calibri"/>
    </w:rPr>
  </w:style>
  <w:style w:type="character" w:customStyle="1" w:styleId="Sautdindex">
    <w:name w:val="Saut d'index"/>
    <w:rsid w:val="00DC63F3"/>
  </w:style>
  <w:style w:type="character" w:customStyle="1" w:styleId="Caractresdenotedebasdepage">
    <w:name w:val="Caractères de note de bas de page"/>
    <w:rsid w:val="00DC63F3"/>
  </w:style>
  <w:style w:type="character" w:styleId="Appelnotedebasdep">
    <w:name w:val="footnote reference"/>
    <w:uiPriority w:val="99"/>
    <w:rsid w:val="00DC63F3"/>
    <w:rPr>
      <w:vertAlign w:val="superscript"/>
    </w:rPr>
  </w:style>
  <w:style w:type="character" w:styleId="Appeldenotedefin">
    <w:name w:val="endnote reference"/>
    <w:rsid w:val="00DC63F3"/>
    <w:rPr>
      <w:vertAlign w:val="superscript"/>
    </w:rPr>
  </w:style>
  <w:style w:type="character" w:customStyle="1" w:styleId="Caractresdenotedefin">
    <w:name w:val="Caractères de note de fin"/>
    <w:rsid w:val="00DC63F3"/>
  </w:style>
  <w:style w:type="paragraph" w:customStyle="1" w:styleId="Titre10">
    <w:name w:val="Titre1"/>
    <w:basedOn w:val="Normal"/>
    <w:next w:val="Corpsdetexte"/>
    <w:rsid w:val="00DC63F3"/>
    <w:pPr>
      <w:keepNext/>
      <w:spacing w:before="240" w:after="120"/>
    </w:pPr>
    <w:rPr>
      <w:rFonts w:ascii="Liberation Sans" w:hAnsi="Liberation Sans" w:cs="FreeSans"/>
      <w:sz w:val="28"/>
      <w:szCs w:val="28"/>
    </w:rPr>
  </w:style>
  <w:style w:type="paragraph" w:styleId="Corpsdetexte">
    <w:name w:val="Body Text"/>
    <w:basedOn w:val="Normal"/>
    <w:rsid w:val="00DC63F3"/>
    <w:pPr>
      <w:spacing w:after="120" w:line="240" w:lineRule="auto"/>
    </w:pPr>
    <w:rPr>
      <w:rFonts w:ascii="Times New Roman" w:eastAsia="Times New Roman" w:hAnsi="Times New Roman" w:cs="Times New Roman"/>
      <w:sz w:val="24"/>
      <w:szCs w:val="24"/>
      <w:lang w:val="en-US"/>
    </w:rPr>
  </w:style>
  <w:style w:type="paragraph" w:styleId="Liste">
    <w:name w:val="List"/>
    <w:basedOn w:val="Corpsdetexte"/>
    <w:rsid w:val="00DC63F3"/>
    <w:rPr>
      <w:rFonts w:cs="FreeSans"/>
    </w:rPr>
  </w:style>
  <w:style w:type="paragraph" w:styleId="Lgende">
    <w:name w:val="caption"/>
    <w:basedOn w:val="Normal"/>
    <w:qFormat/>
    <w:rsid w:val="00DC63F3"/>
    <w:pPr>
      <w:suppressLineNumbers/>
      <w:spacing w:before="120" w:after="120"/>
    </w:pPr>
    <w:rPr>
      <w:rFonts w:cs="FreeSans"/>
      <w:i/>
      <w:iCs/>
      <w:sz w:val="24"/>
      <w:szCs w:val="24"/>
    </w:rPr>
  </w:style>
  <w:style w:type="paragraph" w:customStyle="1" w:styleId="Index">
    <w:name w:val="Index"/>
    <w:basedOn w:val="Normal"/>
    <w:rsid w:val="00DC63F3"/>
    <w:pPr>
      <w:suppressLineNumbers/>
    </w:pPr>
    <w:rPr>
      <w:rFonts w:cs="FreeSans"/>
    </w:rPr>
  </w:style>
  <w:style w:type="paragraph" w:customStyle="1" w:styleId="Textedebulles1">
    <w:name w:val="Texte de bulles1"/>
    <w:basedOn w:val="Normal"/>
    <w:rsid w:val="00DC63F3"/>
    <w:pPr>
      <w:spacing w:after="0" w:line="240" w:lineRule="auto"/>
    </w:pPr>
    <w:rPr>
      <w:rFonts w:ascii="Tahoma" w:hAnsi="Tahoma" w:cs="Tahoma"/>
      <w:sz w:val="16"/>
      <w:szCs w:val="16"/>
    </w:rPr>
  </w:style>
  <w:style w:type="paragraph" w:customStyle="1" w:styleId="Paragraphedeliste1">
    <w:name w:val="Paragraphe de liste1"/>
    <w:basedOn w:val="Normal"/>
    <w:rsid w:val="00DC63F3"/>
    <w:pPr>
      <w:ind w:left="720"/>
      <w:contextualSpacing/>
    </w:pPr>
    <w:rPr>
      <w:rFonts w:eastAsia="Calibri" w:cs="Arial"/>
    </w:rPr>
  </w:style>
  <w:style w:type="paragraph" w:customStyle="1" w:styleId="Sansinterligne1">
    <w:name w:val="Sans interligne1"/>
    <w:rsid w:val="00DC63F3"/>
    <w:pPr>
      <w:suppressAutoHyphens/>
    </w:pPr>
    <w:rPr>
      <w:rFonts w:ascii="Calibri" w:eastAsia="Droid Sans Fallback" w:hAnsi="Calibri" w:cs="font275"/>
      <w:kern w:val="1"/>
      <w:sz w:val="22"/>
      <w:szCs w:val="22"/>
      <w:lang w:eastAsia="en-US"/>
    </w:rPr>
  </w:style>
  <w:style w:type="paragraph" w:customStyle="1" w:styleId="Notedebasdepage1">
    <w:name w:val="Note de bas de page1"/>
    <w:basedOn w:val="Normal"/>
    <w:rsid w:val="00DC63F3"/>
    <w:pPr>
      <w:spacing w:after="0" w:line="240" w:lineRule="auto"/>
    </w:pPr>
    <w:rPr>
      <w:sz w:val="20"/>
      <w:szCs w:val="20"/>
    </w:rPr>
  </w:style>
  <w:style w:type="paragraph" w:styleId="NormalWeb">
    <w:name w:val="Normal (Web)"/>
    <w:basedOn w:val="Normal"/>
    <w:uiPriority w:val="99"/>
    <w:rsid w:val="00DC63F3"/>
    <w:pPr>
      <w:spacing w:after="280"/>
    </w:pPr>
    <w:rPr>
      <w:rFonts w:ascii="Times New Roman" w:eastAsia="Times New Roman" w:hAnsi="Times New Roman" w:cs="Times New Roman"/>
      <w:sz w:val="24"/>
      <w:szCs w:val="24"/>
      <w:lang w:eastAsia="fr-FR"/>
    </w:rPr>
  </w:style>
  <w:style w:type="paragraph" w:customStyle="1" w:styleId="yiv8342021229msonormal">
    <w:name w:val="yiv8342021229msonormal"/>
    <w:basedOn w:val="Normal"/>
    <w:rsid w:val="00DC63F3"/>
    <w:pPr>
      <w:spacing w:after="280"/>
    </w:pPr>
    <w:rPr>
      <w:rFonts w:ascii="Times New Roman" w:eastAsia="Times New Roman" w:hAnsi="Times New Roman" w:cs="Times New Roman"/>
      <w:sz w:val="24"/>
      <w:szCs w:val="24"/>
      <w:lang w:eastAsia="fr-FR"/>
    </w:rPr>
  </w:style>
  <w:style w:type="paragraph" w:customStyle="1" w:styleId="Textecourant">
    <w:name w:val="Texte_courant"/>
    <w:basedOn w:val="Normal"/>
    <w:rsid w:val="00DC63F3"/>
    <w:pPr>
      <w:keepNext/>
      <w:spacing w:after="0" w:line="240" w:lineRule="auto"/>
      <w:ind w:firstLine="709"/>
      <w:jc w:val="both"/>
    </w:pPr>
    <w:rPr>
      <w:rFonts w:eastAsia="Calibri" w:cs="Times New Roman"/>
      <w:sz w:val="24"/>
      <w:szCs w:val="24"/>
      <w:lang w:val="fr-CA"/>
    </w:rPr>
  </w:style>
  <w:style w:type="paragraph" w:customStyle="1" w:styleId="Soustitre">
    <w:name w:val="Sous_titre"/>
    <w:basedOn w:val="Normal"/>
    <w:rsid w:val="00DC63F3"/>
    <w:pPr>
      <w:numPr>
        <w:numId w:val="8"/>
      </w:numPr>
      <w:spacing w:before="120" w:after="120" w:line="360" w:lineRule="auto"/>
      <w:jc w:val="both"/>
    </w:pPr>
    <w:rPr>
      <w:rFonts w:ascii="Times New Roman" w:eastAsia="Calibri" w:hAnsi="Times New Roman" w:cs="Times New Roman"/>
      <w:b/>
      <w:sz w:val="24"/>
      <w:szCs w:val="24"/>
      <w:lang w:val="fr-CA"/>
    </w:rPr>
  </w:style>
  <w:style w:type="paragraph" w:styleId="En-tte">
    <w:name w:val="header"/>
    <w:basedOn w:val="Normal"/>
    <w:rsid w:val="00DC63F3"/>
    <w:pPr>
      <w:tabs>
        <w:tab w:val="center" w:pos="4703"/>
        <w:tab w:val="right" w:pos="9406"/>
      </w:tabs>
      <w:spacing w:after="0" w:line="240" w:lineRule="auto"/>
      <w:jc w:val="both"/>
    </w:pPr>
    <w:rPr>
      <w:rFonts w:ascii="Times New Roman" w:eastAsia="Times New Roman" w:hAnsi="Times New Roman" w:cs="Times New Roman"/>
      <w:sz w:val="24"/>
      <w:szCs w:val="24"/>
      <w:lang w:val="fr-CA" w:eastAsia="fr-FR"/>
    </w:rPr>
  </w:style>
  <w:style w:type="paragraph" w:customStyle="1" w:styleId="Tabledesmatires">
    <w:name w:val="Table des matières"/>
    <w:rsid w:val="00DC63F3"/>
    <w:pPr>
      <w:widowControl w:val="0"/>
      <w:suppressAutoHyphens/>
      <w:spacing w:after="200"/>
    </w:pPr>
    <w:rPr>
      <w:rFonts w:ascii="Calibri" w:eastAsia="Droid Sans Fallback" w:hAnsi="Calibri" w:cs="font275"/>
      <w:kern w:val="1"/>
      <w:sz w:val="22"/>
      <w:szCs w:val="22"/>
      <w:lang w:eastAsia="en-US"/>
    </w:rPr>
  </w:style>
  <w:style w:type="paragraph" w:customStyle="1" w:styleId="Grandtitre">
    <w:name w:val="Grand titre"/>
    <w:qFormat/>
    <w:rsid w:val="00DC63F3"/>
    <w:pPr>
      <w:widowControl w:val="0"/>
      <w:numPr>
        <w:numId w:val="14"/>
      </w:numPr>
      <w:suppressAutoHyphens/>
      <w:spacing w:after="280" w:line="276" w:lineRule="auto"/>
    </w:pPr>
    <w:rPr>
      <w:rFonts w:eastAsia="Calibri"/>
      <w:b/>
      <w:kern w:val="1"/>
      <w:sz w:val="28"/>
      <w:szCs w:val="22"/>
      <w:lang w:val="fr-CA" w:eastAsia="en-US"/>
    </w:rPr>
  </w:style>
  <w:style w:type="paragraph" w:customStyle="1" w:styleId="Pagedegarde">
    <w:name w:val="Page de garde"/>
    <w:rsid w:val="00DC63F3"/>
    <w:pPr>
      <w:suppressAutoHyphens/>
      <w:spacing w:after="200" w:line="276" w:lineRule="auto"/>
      <w:jc w:val="both"/>
    </w:pPr>
    <w:rPr>
      <w:rFonts w:ascii="Calibri" w:eastAsia="MS Mincho" w:hAnsi="Calibri"/>
      <w:kern w:val="1"/>
      <w:sz w:val="24"/>
      <w:szCs w:val="22"/>
      <w:lang w:val="fr-CA" w:eastAsia="en-US"/>
    </w:rPr>
  </w:style>
  <w:style w:type="paragraph" w:styleId="TM1">
    <w:name w:val="toc 1"/>
    <w:basedOn w:val="Normal"/>
    <w:uiPriority w:val="39"/>
    <w:rsid w:val="00DC63F3"/>
    <w:pPr>
      <w:tabs>
        <w:tab w:val="left" w:pos="440"/>
        <w:tab w:val="right" w:leader="dot" w:pos="9062"/>
      </w:tabs>
      <w:spacing w:after="0" w:line="360" w:lineRule="auto"/>
      <w:jc w:val="both"/>
    </w:pPr>
    <w:rPr>
      <w:rFonts w:ascii="Times New Roman" w:eastAsia="Calibri" w:hAnsi="Times New Roman" w:cs="Times New Roman"/>
      <w:sz w:val="24"/>
      <w:szCs w:val="24"/>
      <w:lang w:val="fr-CA"/>
    </w:rPr>
  </w:style>
  <w:style w:type="paragraph" w:styleId="Pieddepage">
    <w:name w:val="footer"/>
    <w:basedOn w:val="Normal"/>
    <w:link w:val="PieddepageCar"/>
    <w:uiPriority w:val="99"/>
    <w:rsid w:val="00DC63F3"/>
    <w:pPr>
      <w:tabs>
        <w:tab w:val="center" w:pos="4320"/>
        <w:tab w:val="right" w:pos="8640"/>
      </w:tabs>
      <w:spacing w:after="0" w:line="240" w:lineRule="auto"/>
      <w:jc w:val="both"/>
    </w:pPr>
    <w:rPr>
      <w:rFonts w:ascii="Times New Roman" w:eastAsia="Calibri" w:hAnsi="Times New Roman" w:cs="Times New Roman"/>
      <w:sz w:val="24"/>
      <w:szCs w:val="24"/>
      <w:lang w:val="fr-CA"/>
    </w:rPr>
  </w:style>
  <w:style w:type="paragraph" w:customStyle="1" w:styleId="TitreRap">
    <w:name w:val="Titre_Rap"/>
    <w:basedOn w:val="Normal"/>
    <w:rsid w:val="00DC63F3"/>
    <w:pPr>
      <w:numPr>
        <w:numId w:val="1"/>
      </w:numPr>
      <w:spacing w:after="0" w:line="360" w:lineRule="auto"/>
      <w:ind w:left="357" w:hanging="357"/>
      <w:jc w:val="both"/>
    </w:pPr>
    <w:rPr>
      <w:rFonts w:ascii="Bell MT" w:eastAsia="Calibri" w:hAnsi="Bell MT" w:cs="Times New Roman"/>
      <w:b/>
      <w:sz w:val="28"/>
      <w:szCs w:val="24"/>
    </w:rPr>
  </w:style>
  <w:style w:type="paragraph" w:customStyle="1" w:styleId="Texterap">
    <w:name w:val="Texte_rap"/>
    <w:rsid w:val="00DC63F3"/>
    <w:pPr>
      <w:keepNext/>
      <w:suppressAutoHyphens/>
      <w:spacing w:before="240"/>
      <w:jc w:val="both"/>
    </w:pPr>
    <w:rPr>
      <w:rFonts w:eastAsia="Calibri"/>
      <w:kern w:val="1"/>
      <w:sz w:val="24"/>
      <w:szCs w:val="22"/>
      <w:lang w:eastAsia="en-US"/>
    </w:rPr>
  </w:style>
  <w:style w:type="paragraph" w:customStyle="1" w:styleId="Soustitrerap">
    <w:name w:val="Sous_titre_rap"/>
    <w:basedOn w:val="Texterap"/>
    <w:rsid w:val="00DC63F3"/>
    <w:pPr>
      <w:numPr>
        <w:numId w:val="13"/>
      </w:numPr>
      <w:spacing w:before="120" w:after="120"/>
    </w:pPr>
    <w:rPr>
      <w:b/>
    </w:rPr>
  </w:style>
  <w:style w:type="paragraph" w:customStyle="1" w:styleId="Tableau">
    <w:name w:val="Tableau"/>
    <w:basedOn w:val="Texterap"/>
    <w:rsid w:val="00DC63F3"/>
    <w:rPr>
      <w:lang w:val="fr-CA"/>
    </w:rPr>
  </w:style>
  <w:style w:type="paragraph" w:customStyle="1" w:styleId="Default">
    <w:name w:val="Default"/>
    <w:rsid w:val="00DC63F3"/>
    <w:pPr>
      <w:suppressAutoHyphens/>
    </w:pPr>
    <w:rPr>
      <w:rFonts w:eastAsia="Calibri"/>
      <w:color w:val="000000"/>
      <w:kern w:val="1"/>
      <w:sz w:val="24"/>
      <w:szCs w:val="24"/>
      <w:lang w:eastAsia="en-US"/>
    </w:rPr>
  </w:style>
  <w:style w:type="paragraph" w:customStyle="1" w:styleId="niv1">
    <w:name w:val="niv1"/>
    <w:basedOn w:val="Normal"/>
    <w:rsid w:val="00DC63F3"/>
    <w:pPr>
      <w:spacing w:after="280"/>
      <w:jc w:val="both"/>
    </w:pPr>
    <w:rPr>
      <w:rFonts w:ascii="Times New Roman" w:eastAsia="Times New Roman" w:hAnsi="Times New Roman" w:cs="Times New Roman"/>
      <w:sz w:val="24"/>
      <w:szCs w:val="24"/>
      <w:lang w:val="fr-CA" w:eastAsia="fr-CA"/>
    </w:rPr>
  </w:style>
  <w:style w:type="paragraph" w:styleId="TM2">
    <w:name w:val="toc 2"/>
    <w:basedOn w:val="Normal"/>
    <w:uiPriority w:val="39"/>
    <w:rsid w:val="00DC63F3"/>
    <w:pPr>
      <w:spacing w:after="100" w:line="360" w:lineRule="auto"/>
      <w:ind w:left="240"/>
      <w:jc w:val="both"/>
    </w:pPr>
    <w:rPr>
      <w:rFonts w:ascii="Times New Roman" w:eastAsia="Calibri" w:hAnsi="Times New Roman" w:cs="Times New Roman"/>
      <w:b/>
      <w:sz w:val="24"/>
      <w:szCs w:val="24"/>
      <w:lang w:val="fr-CA"/>
    </w:rPr>
  </w:style>
  <w:style w:type="paragraph" w:styleId="TM3">
    <w:name w:val="toc 3"/>
    <w:basedOn w:val="Normal"/>
    <w:uiPriority w:val="39"/>
    <w:rsid w:val="00DC63F3"/>
    <w:pPr>
      <w:ind w:left="440"/>
    </w:pPr>
    <w:rPr>
      <w:rFonts w:eastAsia="Calibri" w:cs="Arial"/>
    </w:rPr>
  </w:style>
  <w:style w:type="paragraph" w:styleId="Notedebasdepage">
    <w:name w:val="footnote text"/>
    <w:basedOn w:val="Normal"/>
    <w:link w:val="NotedebasdepageCar"/>
    <w:uiPriority w:val="99"/>
    <w:rsid w:val="00DC63F3"/>
  </w:style>
  <w:style w:type="paragraph" w:styleId="Textedebulles">
    <w:name w:val="Balloon Text"/>
    <w:basedOn w:val="Normal"/>
    <w:link w:val="TextedebullesCar"/>
    <w:uiPriority w:val="99"/>
    <w:semiHidden/>
    <w:unhideWhenUsed/>
    <w:rsid w:val="000A35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35EA"/>
    <w:rPr>
      <w:rFonts w:ascii="Tahoma" w:eastAsia="Droid Sans Fallback" w:hAnsi="Tahoma" w:cs="Tahoma"/>
      <w:kern w:val="1"/>
      <w:sz w:val="16"/>
      <w:szCs w:val="16"/>
      <w:lang w:eastAsia="en-US"/>
    </w:rPr>
  </w:style>
  <w:style w:type="paragraph" w:styleId="Paragraphedeliste">
    <w:name w:val="List Paragraph"/>
    <w:basedOn w:val="Normal"/>
    <w:uiPriority w:val="34"/>
    <w:qFormat/>
    <w:rsid w:val="00854272"/>
    <w:pPr>
      <w:ind w:left="720"/>
      <w:contextualSpacing/>
    </w:pPr>
  </w:style>
  <w:style w:type="table" w:styleId="Grilledutableau">
    <w:name w:val="Table Grid"/>
    <w:basedOn w:val="TableauNormal"/>
    <w:uiPriority w:val="39"/>
    <w:rsid w:val="00661D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edebasdepageCar">
    <w:name w:val="Note de bas de page Car"/>
    <w:basedOn w:val="Policepardfaut"/>
    <w:link w:val="Notedebasdepage"/>
    <w:uiPriority w:val="99"/>
    <w:rsid w:val="00BD37E3"/>
    <w:rPr>
      <w:rFonts w:ascii="Calibri" w:eastAsia="Droid Sans Fallback" w:hAnsi="Calibri" w:cs="font275"/>
      <w:kern w:val="1"/>
      <w:sz w:val="22"/>
      <w:szCs w:val="22"/>
      <w:lang w:eastAsia="en-US"/>
    </w:rPr>
  </w:style>
  <w:style w:type="character" w:styleId="Lienhypertextesuivivisit">
    <w:name w:val="FollowedHyperlink"/>
    <w:basedOn w:val="Policepardfaut"/>
    <w:uiPriority w:val="99"/>
    <w:semiHidden/>
    <w:unhideWhenUsed/>
    <w:rsid w:val="007D2802"/>
    <w:rPr>
      <w:color w:val="800080" w:themeColor="followedHyperlink"/>
      <w:u w:val="single"/>
    </w:rPr>
  </w:style>
  <w:style w:type="character" w:customStyle="1" w:styleId="Mentionnonrsolue1">
    <w:name w:val="Mention non résolue1"/>
    <w:basedOn w:val="Policepardfaut"/>
    <w:uiPriority w:val="99"/>
    <w:semiHidden/>
    <w:unhideWhenUsed/>
    <w:rsid w:val="00EC00B8"/>
    <w:rPr>
      <w:color w:val="605E5C"/>
      <w:shd w:val="clear" w:color="auto" w:fill="E1DFDD"/>
    </w:rPr>
  </w:style>
  <w:style w:type="table" w:customStyle="1" w:styleId="TableauGrille1Clair-Accentuation61">
    <w:name w:val="Tableau Grille 1 Clair - Accentuation 61"/>
    <w:basedOn w:val="TableauNormal"/>
    <w:uiPriority w:val="46"/>
    <w:rsid w:val="0090626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eauGrille2-Accentuation61">
    <w:name w:val="Tableau Grille 2 - Accentuation 61"/>
    <w:basedOn w:val="TableauNormal"/>
    <w:uiPriority w:val="47"/>
    <w:rsid w:val="0090626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3-Accentuation51">
    <w:name w:val="Tableau Grille 3 - Accentuation 51"/>
    <w:basedOn w:val="TableauNormal"/>
    <w:uiPriority w:val="48"/>
    <w:rsid w:val="0090626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eauGrille6Couleur1">
    <w:name w:val="Tableau Grille 6 Couleur1"/>
    <w:basedOn w:val="TableauNormal"/>
    <w:uiPriority w:val="51"/>
    <w:rsid w:val="001F38E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Accentuation41">
    <w:name w:val="Tableau Grille 6 Couleur - Accentuation 41"/>
    <w:basedOn w:val="TableauNormal"/>
    <w:uiPriority w:val="51"/>
    <w:rsid w:val="000E4BD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6Couleur-Accentuation41">
    <w:name w:val="Tableau Liste 6 Couleur - Accentuation 41"/>
    <w:basedOn w:val="TableauNormal"/>
    <w:uiPriority w:val="51"/>
    <w:rsid w:val="00CC002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4-Accentuation11">
    <w:name w:val="Tableau Liste 4 - Accentuation 11"/>
    <w:basedOn w:val="TableauNormal"/>
    <w:uiPriority w:val="49"/>
    <w:rsid w:val="00CC00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simple51">
    <w:name w:val="Tableau simple 51"/>
    <w:basedOn w:val="TableauNormal"/>
    <w:uiPriority w:val="45"/>
    <w:rsid w:val="009C318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2-Accentuation41">
    <w:name w:val="Tableau Grille 2 - Accentuation 41"/>
    <w:basedOn w:val="TableauNormal"/>
    <w:uiPriority w:val="47"/>
    <w:rsid w:val="009C318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Mentionnonrsolue">
    <w:name w:val="Unresolved Mention"/>
    <w:basedOn w:val="Policepardfaut"/>
    <w:uiPriority w:val="99"/>
    <w:semiHidden/>
    <w:unhideWhenUsed/>
    <w:rsid w:val="00737496"/>
    <w:rPr>
      <w:color w:val="605E5C"/>
      <w:shd w:val="clear" w:color="auto" w:fill="E1DFDD"/>
    </w:rPr>
  </w:style>
  <w:style w:type="table" w:styleId="TableauGrille2-Accentuation3">
    <w:name w:val="Grid Table 2 Accent 3"/>
    <w:basedOn w:val="TableauNormal"/>
    <w:uiPriority w:val="47"/>
    <w:rsid w:val="00F663B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2">
    <w:name w:val="Grid Table 2 Accent 2"/>
    <w:basedOn w:val="TableauNormal"/>
    <w:uiPriority w:val="47"/>
    <w:rsid w:val="00C6280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
    <w:name w:val="Grid Table 2"/>
    <w:basedOn w:val="TableauNormal"/>
    <w:uiPriority w:val="47"/>
    <w:rsid w:val="003F046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5C2D8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ansinterligne">
    <w:name w:val="No Spacing"/>
    <w:uiPriority w:val="1"/>
    <w:qFormat/>
    <w:rsid w:val="00F2056C"/>
    <w:pPr>
      <w:suppressAutoHyphens/>
    </w:pPr>
    <w:rPr>
      <w:rFonts w:ascii="Calibri" w:eastAsia="Droid Sans Fallback" w:hAnsi="Calibri" w:cs="font275"/>
      <w:kern w:val="1"/>
      <w:sz w:val="22"/>
      <w:szCs w:val="22"/>
      <w:lang w:eastAsia="en-US"/>
    </w:rPr>
  </w:style>
  <w:style w:type="character" w:customStyle="1" w:styleId="PieddepageCar">
    <w:name w:val="Pied de page Car"/>
    <w:basedOn w:val="Policepardfaut"/>
    <w:link w:val="Pieddepage"/>
    <w:uiPriority w:val="99"/>
    <w:rsid w:val="00096983"/>
    <w:rPr>
      <w:rFonts w:eastAsia="Calibri"/>
      <w:kern w:val="1"/>
      <w:sz w:val="24"/>
      <w:szCs w:val="24"/>
      <w:lang w:val="fr-CA" w:eastAsia="en-US"/>
    </w:rPr>
  </w:style>
  <w:style w:type="paragraph" w:styleId="Sous-titre">
    <w:name w:val="Subtitle"/>
    <w:basedOn w:val="Normal"/>
    <w:next w:val="Normal"/>
    <w:link w:val="Sous-titreCar"/>
    <w:uiPriority w:val="11"/>
    <w:qFormat/>
    <w:rsid w:val="00F06B8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F06B8A"/>
    <w:rPr>
      <w:rFonts w:asciiTheme="minorHAnsi" w:eastAsiaTheme="minorEastAsia" w:hAnsiTheme="minorHAnsi" w:cstheme="minorBidi"/>
      <w:color w:val="5A5A5A" w:themeColor="text1" w:themeTint="A5"/>
      <w:spacing w:val="15"/>
      <w:kern w:val="1"/>
      <w:sz w:val="22"/>
      <w:szCs w:val="22"/>
      <w:lang w:eastAsia="en-US"/>
    </w:rPr>
  </w:style>
  <w:style w:type="paragraph" w:styleId="Titre">
    <w:name w:val="Title"/>
    <w:basedOn w:val="Normal"/>
    <w:next w:val="Normal"/>
    <w:link w:val="TitreCar"/>
    <w:uiPriority w:val="10"/>
    <w:qFormat/>
    <w:rsid w:val="00F06B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06B8A"/>
    <w:rPr>
      <w:rFonts w:asciiTheme="majorHAnsi" w:eastAsiaTheme="majorEastAsia" w:hAnsiTheme="majorHAnsi" w:cstheme="majorBidi"/>
      <w:spacing w:val="-10"/>
      <w:kern w:val="28"/>
      <w:sz w:val="56"/>
      <w:szCs w:val="56"/>
      <w:lang w:eastAsia="en-US"/>
    </w:rPr>
  </w:style>
  <w:style w:type="character" w:customStyle="1" w:styleId="Titre1Car">
    <w:name w:val="Titre 1 Car"/>
    <w:basedOn w:val="Policepardfaut"/>
    <w:link w:val="Titre1"/>
    <w:uiPriority w:val="9"/>
    <w:rsid w:val="00023998"/>
    <w:rPr>
      <w:rFonts w:asciiTheme="majorHAnsi" w:eastAsiaTheme="majorEastAsia" w:hAnsiTheme="majorHAnsi" w:cstheme="majorBidi"/>
      <w:color w:val="365F91" w:themeColor="accent1" w:themeShade="BF"/>
      <w:kern w:val="1"/>
      <w:sz w:val="32"/>
      <w:szCs w:val="32"/>
      <w:lang w:eastAsia="en-US"/>
    </w:rPr>
  </w:style>
  <w:style w:type="paragraph" w:styleId="En-ttedetabledesmatires">
    <w:name w:val="TOC Heading"/>
    <w:basedOn w:val="Titre1"/>
    <w:next w:val="Normal"/>
    <w:uiPriority w:val="39"/>
    <w:unhideWhenUsed/>
    <w:qFormat/>
    <w:rsid w:val="00023998"/>
    <w:pPr>
      <w:suppressAutoHyphens w:val="0"/>
      <w:spacing w:line="259" w:lineRule="auto"/>
      <w:outlineLvl w:val="9"/>
    </w:pPr>
    <w:rPr>
      <w:kern w:val="0"/>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828731">
      <w:bodyDiv w:val="1"/>
      <w:marLeft w:val="0"/>
      <w:marRight w:val="0"/>
      <w:marTop w:val="0"/>
      <w:marBottom w:val="0"/>
      <w:divBdr>
        <w:top w:val="none" w:sz="0" w:space="0" w:color="auto"/>
        <w:left w:val="none" w:sz="0" w:space="0" w:color="auto"/>
        <w:bottom w:val="none" w:sz="0" w:space="0" w:color="auto"/>
        <w:right w:val="none" w:sz="0" w:space="0" w:color="auto"/>
      </w:divBdr>
    </w:div>
    <w:div w:id="449863854">
      <w:bodyDiv w:val="1"/>
      <w:marLeft w:val="0"/>
      <w:marRight w:val="0"/>
      <w:marTop w:val="0"/>
      <w:marBottom w:val="0"/>
      <w:divBdr>
        <w:top w:val="none" w:sz="0" w:space="0" w:color="auto"/>
        <w:left w:val="none" w:sz="0" w:space="0" w:color="auto"/>
        <w:bottom w:val="none" w:sz="0" w:space="0" w:color="auto"/>
        <w:right w:val="none" w:sz="0" w:space="0" w:color="auto"/>
      </w:divBdr>
    </w:div>
    <w:div w:id="552161405">
      <w:bodyDiv w:val="1"/>
      <w:marLeft w:val="0"/>
      <w:marRight w:val="0"/>
      <w:marTop w:val="0"/>
      <w:marBottom w:val="0"/>
      <w:divBdr>
        <w:top w:val="none" w:sz="0" w:space="0" w:color="auto"/>
        <w:left w:val="none" w:sz="0" w:space="0" w:color="auto"/>
        <w:bottom w:val="none" w:sz="0" w:space="0" w:color="auto"/>
        <w:right w:val="none" w:sz="0" w:space="0" w:color="auto"/>
      </w:divBdr>
    </w:div>
    <w:div w:id="603225677">
      <w:bodyDiv w:val="1"/>
      <w:marLeft w:val="0"/>
      <w:marRight w:val="0"/>
      <w:marTop w:val="0"/>
      <w:marBottom w:val="0"/>
      <w:divBdr>
        <w:top w:val="none" w:sz="0" w:space="0" w:color="auto"/>
        <w:left w:val="none" w:sz="0" w:space="0" w:color="auto"/>
        <w:bottom w:val="none" w:sz="0" w:space="0" w:color="auto"/>
        <w:right w:val="none" w:sz="0" w:space="0" w:color="auto"/>
      </w:divBdr>
    </w:div>
    <w:div w:id="722410005">
      <w:bodyDiv w:val="1"/>
      <w:marLeft w:val="0"/>
      <w:marRight w:val="0"/>
      <w:marTop w:val="0"/>
      <w:marBottom w:val="0"/>
      <w:divBdr>
        <w:top w:val="none" w:sz="0" w:space="0" w:color="auto"/>
        <w:left w:val="none" w:sz="0" w:space="0" w:color="auto"/>
        <w:bottom w:val="none" w:sz="0" w:space="0" w:color="auto"/>
        <w:right w:val="none" w:sz="0" w:space="0" w:color="auto"/>
      </w:divBdr>
    </w:div>
    <w:div w:id="754546826">
      <w:bodyDiv w:val="1"/>
      <w:marLeft w:val="0"/>
      <w:marRight w:val="0"/>
      <w:marTop w:val="0"/>
      <w:marBottom w:val="0"/>
      <w:divBdr>
        <w:top w:val="none" w:sz="0" w:space="0" w:color="auto"/>
        <w:left w:val="none" w:sz="0" w:space="0" w:color="auto"/>
        <w:bottom w:val="none" w:sz="0" w:space="0" w:color="auto"/>
        <w:right w:val="none" w:sz="0" w:space="0" w:color="auto"/>
      </w:divBdr>
    </w:div>
    <w:div w:id="856384355">
      <w:bodyDiv w:val="1"/>
      <w:marLeft w:val="0"/>
      <w:marRight w:val="0"/>
      <w:marTop w:val="0"/>
      <w:marBottom w:val="0"/>
      <w:divBdr>
        <w:top w:val="none" w:sz="0" w:space="0" w:color="auto"/>
        <w:left w:val="none" w:sz="0" w:space="0" w:color="auto"/>
        <w:bottom w:val="none" w:sz="0" w:space="0" w:color="auto"/>
        <w:right w:val="none" w:sz="0" w:space="0" w:color="auto"/>
      </w:divBdr>
    </w:div>
    <w:div w:id="948588569">
      <w:bodyDiv w:val="1"/>
      <w:marLeft w:val="0"/>
      <w:marRight w:val="0"/>
      <w:marTop w:val="0"/>
      <w:marBottom w:val="0"/>
      <w:divBdr>
        <w:top w:val="none" w:sz="0" w:space="0" w:color="auto"/>
        <w:left w:val="none" w:sz="0" w:space="0" w:color="auto"/>
        <w:bottom w:val="none" w:sz="0" w:space="0" w:color="auto"/>
        <w:right w:val="none" w:sz="0" w:space="0" w:color="auto"/>
      </w:divBdr>
    </w:div>
    <w:div w:id="994140339">
      <w:bodyDiv w:val="1"/>
      <w:marLeft w:val="0"/>
      <w:marRight w:val="0"/>
      <w:marTop w:val="0"/>
      <w:marBottom w:val="0"/>
      <w:divBdr>
        <w:top w:val="none" w:sz="0" w:space="0" w:color="auto"/>
        <w:left w:val="none" w:sz="0" w:space="0" w:color="auto"/>
        <w:bottom w:val="none" w:sz="0" w:space="0" w:color="auto"/>
        <w:right w:val="none" w:sz="0" w:space="0" w:color="auto"/>
      </w:divBdr>
    </w:div>
    <w:div w:id="997925588">
      <w:bodyDiv w:val="1"/>
      <w:marLeft w:val="0"/>
      <w:marRight w:val="0"/>
      <w:marTop w:val="0"/>
      <w:marBottom w:val="0"/>
      <w:divBdr>
        <w:top w:val="none" w:sz="0" w:space="0" w:color="auto"/>
        <w:left w:val="none" w:sz="0" w:space="0" w:color="auto"/>
        <w:bottom w:val="none" w:sz="0" w:space="0" w:color="auto"/>
        <w:right w:val="none" w:sz="0" w:space="0" w:color="auto"/>
      </w:divBdr>
    </w:div>
    <w:div w:id="1035472244">
      <w:bodyDiv w:val="1"/>
      <w:marLeft w:val="0"/>
      <w:marRight w:val="0"/>
      <w:marTop w:val="0"/>
      <w:marBottom w:val="0"/>
      <w:divBdr>
        <w:top w:val="none" w:sz="0" w:space="0" w:color="auto"/>
        <w:left w:val="none" w:sz="0" w:space="0" w:color="auto"/>
        <w:bottom w:val="none" w:sz="0" w:space="0" w:color="auto"/>
        <w:right w:val="none" w:sz="0" w:space="0" w:color="auto"/>
      </w:divBdr>
    </w:div>
    <w:div w:id="1099713287">
      <w:bodyDiv w:val="1"/>
      <w:marLeft w:val="0"/>
      <w:marRight w:val="0"/>
      <w:marTop w:val="0"/>
      <w:marBottom w:val="0"/>
      <w:divBdr>
        <w:top w:val="none" w:sz="0" w:space="0" w:color="auto"/>
        <w:left w:val="none" w:sz="0" w:space="0" w:color="auto"/>
        <w:bottom w:val="none" w:sz="0" w:space="0" w:color="auto"/>
        <w:right w:val="none" w:sz="0" w:space="0" w:color="auto"/>
      </w:divBdr>
    </w:div>
    <w:div w:id="1110473654">
      <w:bodyDiv w:val="1"/>
      <w:marLeft w:val="0"/>
      <w:marRight w:val="0"/>
      <w:marTop w:val="0"/>
      <w:marBottom w:val="0"/>
      <w:divBdr>
        <w:top w:val="none" w:sz="0" w:space="0" w:color="auto"/>
        <w:left w:val="none" w:sz="0" w:space="0" w:color="auto"/>
        <w:bottom w:val="none" w:sz="0" w:space="0" w:color="auto"/>
        <w:right w:val="none" w:sz="0" w:space="0" w:color="auto"/>
      </w:divBdr>
    </w:div>
    <w:div w:id="1373073439">
      <w:bodyDiv w:val="1"/>
      <w:marLeft w:val="0"/>
      <w:marRight w:val="0"/>
      <w:marTop w:val="0"/>
      <w:marBottom w:val="0"/>
      <w:divBdr>
        <w:top w:val="none" w:sz="0" w:space="0" w:color="auto"/>
        <w:left w:val="none" w:sz="0" w:space="0" w:color="auto"/>
        <w:bottom w:val="none" w:sz="0" w:space="0" w:color="auto"/>
        <w:right w:val="none" w:sz="0" w:space="0" w:color="auto"/>
      </w:divBdr>
    </w:div>
    <w:div w:id="1409226758">
      <w:bodyDiv w:val="1"/>
      <w:marLeft w:val="0"/>
      <w:marRight w:val="0"/>
      <w:marTop w:val="0"/>
      <w:marBottom w:val="0"/>
      <w:divBdr>
        <w:top w:val="none" w:sz="0" w:space="0" w:color="auto"/>
        <w:left w:val="none" w:sz="0" w:space="0" w:color="auto"/>
        <w:bottom w:val="none" w:sz="0" w:space="0" w:color="auto"/>
        <w:right w:val="none" w:sz="0" w:space="0" w:color="auto"/>
      </w:divBdr>
    </w:div>
    <w:div w:id="1415862408">
      <w:bodyDiv w:val="1"/>
      <w:marLeft w:val="0"/>
      <w:marRight w:val="0"/>
      <w:marTop w:val="0"/>
      <w:marBottom w:val="0"/>
      <w:divBdr>
        <w:top w:val="none" w:sz="0" w:space="0" w:color="auto"/>
        <w:left w:val="none" w:sz="0" w:space="0" w:color="auto"/>
        <w:bottom w:val="none" w:sz="0" w:space="0" w:color="auto"/>
        <w:right w:val="none" w:sz="0" w:space="0" w:color="auto"/>
      </w:divBdr>
    </w:div>
    <w:div w:id="1643000478">
      <w:bodyDiv w:val="1"/>
      <w:marLeft w:val="0"/>
      <w:marRight w:val="0"/>
      <w:marTop w:val="0"/>
      <w:marBottom w:val="0"/>
      <w:divBdr>
        <w:top w:val="none" w:sz="0" w:space="0" w:color="auto"/>
        <w:left w:val="none" w:sz="0" w:space="0" w:color="auto"/>
        <w:bottom w:val="none" w:sz="0" w:space="0" w:color="auto"/>
        <w:right w:val="none" w:sz="0" w:space="0" w:color="auto"/>
      </w:divBdr>
    </w:div>
    <w:div w:id="1817993913">
      <w:bodyDiv w:val="1"/>
      <w:marLeft w:val="0"/>
      <w:marRight w:val="0"/>
      <w:marTop w:val="0"/>
      <w:marBottom w:val="0"/>
      <w:divBdr>
        <w:top w:val="none" w:sz="0" w:space="0" w:color="auto"/>
        <w:left w:val="none" w:sz="0" w:space="0" w:color="auto"/>
        <w:bottom w:val="none" w:sz="0" w:space="0" w:color="auto"/>
        <w:right w:val="none" w:sz="0" w:space="0" w:color="auto"/>
      </w:divBdr>
    </w:div>
    <w:div w:id="1892379054">
      <w:bodyDiv w:val="1"/>
      <w:marLeft w:val="0"/>
      <w:marRight w:val="0"/>
      <w:marTop w:val="0"/>
      <w:marBottom w:val="0"/>
      <w:divBdr>
        <w:top w:val="none" w:sz="0" w:space="0" w:color="auto"/>
        <w:left w:val="none" w:sz="0" w:space="0" w:color="auto"/>
        <w:bottom w:val="none" w:sz="0" w:space="0" w:color="auto"/>
        <w:right w:val="none" w:sz="0" w:space="0" w:color="auto"/>
      </w:divBdr>
    </w:div>
    <w:div w:id="1903634608">
      <w:bodyDiv w:val="1"/>
      <w:marLeft w:val="0"/>
      <w:marRight w:val="0"/>
      <w:marTop w:val="0"/>
      <w:marBottom w:val="0"/>
      <w:divBdr>
        <w:top w:val="none" w:sz="0" w:space="0" w:color="auto"/>
        <w:left w:val="none" w:sz="0" w:space="0" w:color="auto"/>
        <w:bottom w:val="none" w:sz="0" w:space="0" w:color="auto"/>
        <w:right w:val="none" w:sz="0" w:space="0" w:color="auto"/>
      </w:divBdr>
    </w:div>
    <w:div w:id="1910381175">
      <w:bodyDiv w:val="1"/>
      <w:marLeft w:val="0"/>
      <w:marRight w:val="0"/>
      <w:marTop w:val="0"/>
      <w:marBottom w:val="0"/>
      <w:divBdr>
        <w:top w:val="none" w:sz="0" w:space="0" w:color="auto"/>
        <w:left w:val="none" w:sz="0" w:space="0" w:color="auto"/>
        <w:bottom w:val="none" w:sz="0" w:space="0" w:color="auto"/>
        <w:right w:val="none" w:sz="0" w:space="0" w:color="auto"/>
      </w:divBdr>
    </w:div>
    <w:div w:id="2005156356">
      <w:bodyDiv w:val="1"/>
      <w:marLeft w:val="0"/>
      <w:marRight w:val="0"/>
      <w:marTop w:val="0"/>
      <w:marBottom w:val="0"/>
      <w:divBdr>
        <w:top w:val="none" w:sz="0" w:space="0" w:color="auto"/>
        <w:left w:val="none" w:sz="0" w:space="0" w:color="auto"/>
        <w:bottom w:val="none" w:sz="0" w:space="0" w:color="auto"/>
        <w:right w:val="none" w:sz="0" w:space="0" w:color="auto"/>
      </w:divBdr>
    </w:div>
    <w:div w:id="2071003976">
      <w:bodyDiv w:val="1"/>
      <w:marLeft w:val="0"/>
      <w:marRight w:val="0"/>
      <w:marTop w:val="0"/>
      <w:marBottom w:val="0"/>
      <w:divBdr>
        <w:top w:val="none" w:sz="0" w:space="0" w:color="auto"/>
        <w:left w:val="none" w:sz="0" w:space="0" w:color="auto"/>
        <w:bottom w:val="none" w:sz="0" w:space="0" w:color="auto"/>
        <w:right w:val="none" w:sz="0" w:space="0" w:color="auto"/>
      </w:divBdr>
    </w:div>
    <w:div w:id="21053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erspective.usherbrooke.ca/bilan/servlet/BMTendanceImportExport?codeTheme=Exports&amp;codeStat=TO&amp;codePays=MRT" TargetMode="External"/><Relationship Id="rId18" Type="http://schemas.openxmlformats.org/officeDocument/2006/relationships/chart" Target="charts/chart4.xml"/><Relationship Id="rId26" Type="http://schemas.openxmlformats.org/officeDocument/2006/relationships/hyperlink" Target="https://fr.wikipedia.org/wiki/Solvant"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erspective.usherbrooke.ca/bilan/servlet/BMTendanceImportExport?codeTheme=Exports&amp;codeStat=MI&amp;codePays=MRT" TargetMode="External"/><Relationship Id="rId17" Type="http://schemas.openxmlformats.org/officeDocument/2006/relationships/chart" Target="charts/chart3.xml"/><Relationship Id="rId25" Type="http://schemas.openxmlformats.org/officeDocument/2006/relationships/hyperlink" Target="http://www.ons.m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hyperlink" Target="file:///C:/Users/a.ly/Downloads/pm-1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rspective.usherbrooke.ca/bilan/servlet/BMTendanceImportExport?codeTheme=Exports&amp;codeStat=AG&amp;codePays=MRT" TargetMode="External"/><Relationship Id="rId24" Type="http://schemas.openxmlformats.org/officeDocument/2006/relationships/chart" Target="charts/chart9.xml"/><Relationship Id="rId32" Type="http://schemas.openxmlformats.org/officeDocument/2006/relationships/hyperlink" Target="http://www.attm.mr/index.php/component/content/category/83-entreprise"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hyperlink" Target="http://www.environnement.gov.mr/fr/" TargetMode="External"/><Relationship Id="rId10" Type="http://schemas.openxmlformats.org/officeDocument/2006/relationships/hyperlink" Target="http://perspective.usherbrooke.ca/bilan/servlet/BMTendanceImportExport?codeTheme=Exports&amp;codeStat=MA&amp;codePays=MRT" TargetMode="External"/><Relationship Id="rId19" Type="http://schemas.openxmlformats.org/officeDocument/2006/relationships/image" Target="media/image4.emf"/><Relationship Id="rId31" Type="http://schemas.openxmlformats.org/officeDocument/2006/relationships/hyperlink" Target="https://caravanmr.com/node/7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emf"/><Relationship Id="rId22" Type="http://schemas.openxmlformats.org/officeDocument/2006/relationships/chart" Target="charts/chart7.xml"/><Relationship Id="rId27" Type="http://schemas.openxmlformats.org/officeDocument/2006/relationships/hyperlink" Target="http://www.ipcc-nggip.iges.or.jp/public/2006gl/french/" TargetMode="External"/><Relationship Id="rId30" Type="http://schemas.openxmlformats.org/officeDocument/2006/relationships/hyperlink" Target="https://housingfinanceafrica.org/app/uploads/2023/11/2023-French-Yearbook-28.10.2023_compressed.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afa-mr.com/howto.html" TargetMode="External"/><Relationship Id="rId3" Type="http://schemas.openxmlformats.org/officeDocument/2006/relationships/hyperlink" Target="http://fr.ami.mr/Depeche-30799.html" TargetMode="External"/><Relationship Id="rId7" Type="http://schemas.openxmlformats.org/officeDocument/2006/relationships/hyperlink" Target="file:///C:/Users/a.ly/Downloads/pm-111.pdf" TargetMode="External"/><Relationship Id="rId2" Type="http://schemas.openxmlformats.org/officeDocument/2006/relationships/hyperlink" Target="http://perspective.usherbrooke.ca/bilan/servlet/BMImportExportPays?codePays=MRT" TargetMode="External"/><Relationship Id="rId1" Type="http://schemas.openxmlformats.org/officeDocument/2006/relationships/hyperlink" Target="https://faolex.fao.org/docs/pdf/Mau169999.pdf" TargetMode="External"/><Relationship Id="rId6" Type="http://schemas.openxmlformats.org/officeDocument/2006/relationships/hyperlink" Target="https://www.lesechos.fr/2008/10/ciment-vicat-simplante-en-mauritanie-en-rachetant-bsa-ciment-515793" TargetMode="External"/><Relationship Id="rId5" Type="http://schemas.openxmlformats.org/officeDocument/2006/relationships/hyperlink" Target="http://housingfinanceafrica.org" TargetMode="External"/><Relationship Id="rId10" Type="http://schemas.openxmlformats.org/officeDocument/2006/relationships/hyperlink" Target="http://documents.worldbank.org/curated/en/120631468280433222/text/52240SR0FRENCH101Official0Use0Only1.txt" TargetMode="External"/><Relationship Id="rId4" Type="http://schemas.openxmlformats.org/officeDocument/2006/relationships/hyperlink" Target="file:///C:/Users/Ly%20Amadou/Documents/DOC-CC/PIUP/BUR-2019/ciments-pl&#226;tre-chauxRIM.pdf" TargetMode="External"/><Relationship Id="rId9" Type="http://schemas.openxmlformats.org/officeDocument/2006/relationships/hyperlink" Target="http://staroilgroup.com/index-liste-detail.php?page=2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IGES-2023\Rapport-2023\Calcul-2023\tableaux-calcul-ferroalliage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IGES-2023\Rapport-2023\Calcul-2023\Tableaux-Graphiques-BUR2019\tableaux-calcul-CIMENT-BUR2-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IGES-2023\Rapport-2023\Calcul-2023\Tableaux-Graphiques-BUR2019\tableaux-calcul-CIMENT-BUR2-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IGES-2023\Rapport-2023\Calcul-2023\Tableaux-Graphiques-BUR2019\tableaux-calcul-CIMENT-BUR2-201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D:\IGES-2023\Rapport-2023\Calcul-2023\tableaux-calcul-ferroalliage2019.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IGES-2023\Rapport-2023\Calcul-2023\tableaux-calcul-ferroalliage2019.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D:\IGES-2023\Rapport-2023\Calcul-2023\Tableaux-Graphiques-BUR2019\tableaux-huile-graisse-2019.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D:\IGES-2023\Rapport-2023\Calcul-2023\Tableaux-Graphiques-BUR2019\tableaux-huile-graisse-2019.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D:\IGES-2023\Rapport-2023\Calcul-2023\Tableaux-Graphiques-BUR2019\tableaux-huile-graisse-2019.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fr-FR" sz="1200" b="1" i="0" u="sng" strike="noStrike" cap="all" baseline="0">
                <a:effectLst/>
              </a:rPr>
              <a:t>Proportions respectives des principaux GES du secteur des PIUP en 2022</a:t>
            </a:r>
            <a:endParaRPr lang="en-US" sz="1200" u="sng"/>
          </a:p>
        </c:rich>
      </c:tx>
      <c:layout>
        <c:manualLayout>
          <c:xMode val="edge"/>
          <c:yMode val="edge"/>
          <c:x val="0.11995688038995124"/>
          <c:y val="0"/>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fr-FR"/>
        </a:p>
      </c:txPr>
    </c:title>
    <c:autoTitleDeleted val="0"/>
    <c:plotArea>
      <c:layout/>
      <c:ofPieChart>
        <c:ofPieType val="pie"/>
        <c:varyColors val="1"/>
        <c:ser>
          <c:idx val="0"/>
          <c:order val="0"/>
          <c:tx>
            <c:strRef>
              <c:f>'Tableau-synth_2024'!$K$22</c:f>
              <c:strCache>
                <c:ptCount val="1"/>
                <c:pt idx="0">
                  <c:v>Quantités </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C145-407D-B19D-E548B82B2BFD}"/>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C145-407D-B19D-E548B82B2BFD}"/>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C145-407D-B19D-E548B82B2BFD}"/>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C145-407D-B19D-E548B82B2BFD}"/>
              </c:ext>
            </c:extLst>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9-C145-407D-B19D-E548B82B2BFD}"/>
              </c:ext>
            </c:extLst>
          </c:dPt>
          <c:dPt>
            <c:idx val="5"/>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B-C145-407D-B19D-E548B82B2BF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'Tableau-synth_2024'!$L$21:$P$21</c:f>
              <c:strCache>
                <c:ptCount val="5"/>
                <c:pt idx="0">
                  <c:v>CO2</c:v>
                </c:pt>
                <c:pt idx="1">
                  <c:v>CH4</c:v>
                </c:pt>
                <c:pt idx="2">
                  <c:v>HFCs</c:v>
                </c:pt>
                <c:pt idx="3">
                  <c:v>NMVOCs</c:v>
                </c:pt>
                <c:pt idx="4">
                  <c:v>SO2</c:v>
                </c:pt>
              </c:strCache>
            </c:strRef>
          </c:cat>
          <c:val>
            <c:numRef>
              <c:f>'Tableau-synth_2024'!$L$22:$P$22</c:f>
              <c:numCache>
                <c:formatCode>General</c:formatCode>
                <c:ptCount val="5"/>
                <c:pt idx="0">
                  <c:v>12.13</c:v>
                </c:pt>
                <c:pt idx="1">
                  <c:v>3.0000000000000001E-5</c:v>
                </c:pt>
                <c:pt idx="2">
                  <c:v>8.9060000000000006</c:v>
                </c:pt>
                <c:pt idx="3">
                  <c:v>8.5299999999999994</c:v>
                </c:pt>
                <c:pt idx="4">
                  <c:v>0.28999999999999998</c:v>
                </c:pt>
              </c:numCache>
            </c:numRef>
          </c:val>
          <c:extLst>
            <c:ext xmlns:c16="http://schemas.microsoft.com/office/drawing/2014/chart" uri="{C3380CC4-5D6E-409C-BE32-E72D297353CC}">
              <c16:uniqueId val="{0000000C-C145-407D-B19D-E548B82B2BFD}"/>
            </c:ext>
          </c:extLst>
        </c:ser>
        <c:dLbls>
          <c:dLblPos val="ctr"/>
          <c:showLegendKey val="0"/>
          <c:showVal val="0"/>
          <c:showCatName val="1"/>
          <c:showSerName val="0"/>
          <c:showPercent val="1"/>
          <c:showBubbleSize val="0"/>
          <c:showLeaderLines val="1"/>
        </c:dLbls>
        <c:gapWidth val="100"/>
        <c:secondPieSize val="125"/>
        <c:serLines>
          <c:spPr>
            <a:ln w="9525">
              <a:solidFill>
                <a:schemeClr val="tx1">
                  <a:lumMod val="35000"/>
                  <a:lumOff val="65000"/>
                </a:schemeClr>
              </a:solidFill>
              <a:round/>
            </a:ln>
            <a:effectLst/>
          </c:spPr>
        </c:serLines>
      </c:ofPieChart>
      <c:spPr>
        <a:noFill/>
        <a:ln>
          <a:solidFill>
            <a:schemeClr val="accent1"/>
          </a:solid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fr-FR" sz="1200" u="sng"/>
              <a:t>ÉMISSIONS ANNUELLES DE SO</a:t>
            </a:r>
            <a:r>
              <a:rPr lang="fr-FR" sz="1200" u="sng" baseline="-25000"/>
              <a:t>2</a:t>
            </a:r>
            <a:r>
              <a:rPr lang="fr-FR" sz="1200" u="sng"/>
              <a:t> DE LA PRODUCTION DE CIMENT DE 1990 À 2023   </a:t>
            </a:r>
            <a:endParaRPr lang="fr-CA" sz="1200" u="sng"/>
          </a:p>
        </c:rich>
      </c:tx>
      <c:overlay val="0"/>
      <c:spPr>
        <a:solidFill>
          <a:schemeClr val="accent6"/>
        </a:solid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fr-FR"/>
        </a:p>
      </c:txPr>
    </c:title>
    <c:autoTitleDeleted val="0"/>
    <c:plotArea>
      <c:layout/>
      <c:lineChart>
        <c:grouping val="standard"/>
        <c:varyColors val="0"/>
        <c:ser>
          <c:idx val="3"/>
          <c:order val="0"/>
          <c:tx>
            <c:strRef>
              <c:f>'Fichier-Ci-Calculs_2024'!$A$2:$A$34</c:f>
              <c:strCache>
                <c:ptCount val="3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strCache>
            </c:strRef>
          </c:tx>
          <c:spPr>
            <a:ln w="2222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'Fichier-Ci-Calculs_2024'!$A$2:$A$35</c:f>
              <c:numCache>
                <c:formatCode>General</c:formatCode>
                <c:ptCount val="3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numCache>
            </c:numRef>
          </c:cat>
          <c:val>
            <c:numRef>
              <c:f>'Fichier-Ci-Calculs_2024'!$E$2:$E$34</c:f>
              <c:numCache>
                <c:formatCode>General</c:formatCode>
                <c:ptCount val="33"/>
                <c:pt idx="0">
                  <c:v>0</c:v>
                </c:pt>
                <c:pt idx="1">
                  <c:v>0</c:v>
                </c:pt>
                <c:pt idx="2">
                  <c:v>0</c:v>
                </c:pt>
                <c:pt idx="3">
                  <c:v>0</c:v>
                </c:pt>
                <c:pt idx="4">
                  <c:v>0</c:v>
                </c:pt>
                <c:pt idx="5">
                  <c:v>0</c:v>
                </c:pt>
                <c:pt idx="6">
                  <c:v>0</c:v>
                </c:pt>
                <c:pt idx="7">
                  <c:v>0</c:v>
                </c:pt>
                <c:pt idx="8" formatCode="0.00">
                  <c:v>2.3333999999999997E-2</c:v>
                </c:pt>
                <c:pt idx="9" formatCode="0.00">
                  <c:v>4.3145999999999997E-2</c:v>
                </c:pt>
                <c:pt idx="10" formatCode="0.00">
                  <c:v>5.9697E-2</c:v>
                </c:pt>
                <c:pt idx="11" formatCode="0.00">
                  <c:v>9.1244999999999979E-2</c:v>
                </c:pt>
                <c:pt idx="12" formatCode="0.00">
                  <c:v>0.10968599999999999</c:v>
                </c:pt>
                <c:pt idx="13" formatCode="0.00">
                  <c:v>9.4323000000000004E-2</c:v>
                </c:pt>
                <c:pt idx="14" formatCode="0.00">
                  <c:v>0.15115199999999998</c:v>
                </c:pt>
                <c:pt idx="15" formatCode="0.00">
                  <c:v>9.8444999999999991E-2</c:v>
                </c:pt>
                <c:pt idx="16" formatCode="0.00">
                  <c:v>0.15983099999999997</c:v>
                </c:pt>
                <c:pt idx="17" formatCode="0.00">
                  <c:v>0.22122299999999998</c:v>
                </c:pt>
                <c:pt idx="18" formatCode="0.00">
                  <c:v>0.110814</c:v>
                </c:pt>
                <c:pt idx="19" formatCode="0.00">
                  <c:v>0.18252299999999996</c:v>
                </c:pt>
                <c:pt idx="20" formatCode="0.00">
                  <c:v>0.20735999999999999</c:v>
                </c:pt>
                <c:pt idx="21" formatCode="0.00">
                  <c:v>0.20735999999999999</c:v>
                </c:pt>
                <c:pt idx="22" formatCode="0.00">
                  <c:v>0.20735999999999999</c:v>
                </c:pt>
                <c:pt idx="23" formatCode="0.00">
                  <c:v>0.24368454215999999</c:v>
                </c:pt>
                <c:pt idx="24" formatCode="0.00">
                  <c:v>0.29483007264</c:v>
                </c:pt>
                <c:pt idx="25" formatCode="0.00">
                  <c:v>0.25380343151999996</c:v>
                </c:pt>
                <c:pt idx="26" formatCode="0.00">
                  <c:v>0.13434222716040839</c:v>
                </c:pt>
                <c:pt idx="27" formatCode="0.00">
                  <c:v>0.15079418634302971</c:v>
                </c:pt>
                <c:pt idx="28" formatCode="0.00">
                  <c:v>0.16951217278214792</c:v>
                </c:pt>
                <c:pt idx="29" formatCode="0.00">
                  <c:v>0.25973959379803907</c:v>
                </c:pt>
                <c:pt idx="30" formatCode="0.00">
                  <c:v>0.26578282871647002</c:v>
                </c:pt>
                <c:pt idx="31" formatCode="0.00">
                  <c:v>0.27184222006557107</c:v>
                </c:pt>
                <c:pt idx="32" formatCode="0.00">
                  <c:v>0.27770857055245474</c:v>
                </c:pt>
              </c:numCache>
            </c:numRef>
          </c:val>
          <c:smooth val="0"/>
          <c:extLst>
            <c:ext xmlns:c16="http://schemas.microsoft.com/office/drawing/2014/chart" uri="{C3380CC4-5D6E-409C-BE32-E72D297353CC}">
              <c16:uniqueId val="{00000000-4201-4509-A5E7-D26C82D02F80}"/>
            </c:ext>
          </c:extLst>
        </c:ser>
        <c:dLbls>
          <c:dLblPos val="ctr"/>
          <c:showLegendKey val="0"/>
          <c:showVal val="1"/>
          <c:showCatName val="0"/>
          <c:showSerName val="0"/>
          <c:showPercent val="0"/>
          <c:showBubbleSize val="0"/>
        </c:dLbls>
        <c:smooth val="0"/>
        <c:axId val="775201976"/>
        <c:axId val="775204496"/>
      </c:lineChart>
      <c:catAx>
        <c:axId val="77520197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fr-FR"/>
          </a:p>
        </c:txPr>
        <c:crossAx val="775204496"/>
        <c:crosses val="autoZero"/>
        <c:auto val="1"/>
        <c:lblAlgn val="ctr"/>
        <c:lblOffset val="100"/>
        <c:noMultiLvlLbl val="0"/>
      </c:catAx>
      <c:valAx>
        <c:axId val="775204496"/>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crossAx val="77520197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showDLblsOverMax val="0"/>
  </c:chart>
  <c:spPr>
    <a:pattFill prst="pct5">
      <a:fgClr>
        <a:schemeClr val="accent6"/>
      </a:fgClr>
      <a:bgClr>
        <a:schemeClr val="bg1"/>
      </a:bgClr>
    </a:patt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sz="1200" u="sng">
                <a:solidFill>
                  <a:srgbClr val="FF0000"/>
                </a:solidFill>
              </a:rPr>
              <a:t>RÉCAPITULATIF DES TOTAUX DES ĖMISSIONS DE SO</a:t>
            </a:r>
            <a:r>
              <a:rPr lang="fr-FR" sz="1200" u="sng" baseline="-25000">
                <a:solidFill>
                  <a:srgbClr val="FF0000"/>
                </a:solidFill>
              </a:rPr>
              <a:t>2</a:t>
            </a:r>
            <a:r>
              <a:rPr lang="fr-FR" sz="1200" u="sng">
                <a:solidFill>
                  <a:srgbClr val="FF0000"/>
                </a:solidFill>
              </a:rPr>
              <a:t> LORS DES INVENTAIRES NATIONAUX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manualLayout>
          <c:layoutTarget val="inner"/>
          <c:xMode val="edge"/>
          <c:yMode val="edge"/>
          <c:x val="6.0734243662580151E-2"/>
          <c:y val="0.10552495855145179"/>
          <c:w val="0.93926575633741982"/>
          <c:h val="0.79089417690192043"/>
        </c:manualLayout>
      </c:layout>
      <c:lineChart>
        <c:grouping val="standard"/>
        <c:varyColors val="0"/>
        <c:ser>
          <c:idx val="0"/>
          <c:order val="0"/>
          <c:tx>
            <c:strRef>
              <c:f>Resume_CN!$A$12</c:f>
              <c:strCache>
                <c:ptCount val="1"/>
                <c:pt idx="0">
                  <c:v>Ėmissions_SO2_Gg</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Resume_CN!$B$11:$H$11</c:f>
              <c:numCache>
                <c:formatCode>General</c:formatCode>
                <c:ptCount val="7"/>
                <c:pt idx="0">
                  <c:v>1995</c:v>
                </c:pt>
                <c:pt idx="1">
                  <c:v>2000</c:v>
                </c:pt>
                <c:pt idx="2">
                  <c:v>2010</c:v>
                </c:pt>
                <c:pt idx="3">
                  <c:v>2012</c:v>
                </c:pt>
                <c:pt idx="4">
                  <c:v>2015</c:v>
                </c:pt>
                <c:pt idx="5">
                  <c:v>2018</c:v>
                </c:pt>
                <c:pt idx="6">
                  <c:v>2022</c:v>
                </c:pt>
              </c:numCache>
            </c:numRef>
          </c:cat>
          <c:val>
            <c:numRef>
              <c:f>Resume_CN!$B$12:$H$12</c:f>
              <c:numCache>
                <c:formatCode>0.00</c:formatCode>
                <c:ptCount val="7"/>
                <c:pt idx="0" formatCode="General">
                  <c:v>0</c:v>
                </c:pt>
                <c:pt idx="1">
                  <c:v>5.9697E-2</c:v>
                </c:pt>
                <c:pt idx="2">
                  <c:v>0.20735999999999999</c:v>
                </c:pt>
                <c:pt idx="3">
                  <c:v>0.20735999999999999</c:v>
                </c:pt>
                <c:pt idx="4">
                  <c:v>0.25380343151999996</c:v>
                </c:pt>
                <c:pt idx="5">
                  <c:v>0.25973959379803907</c:v>
                </c:pt>
                <c:pt idx="6">
                  <c:v>0.27</c:v>
                </c:pt>
              </c:numCache>
            </c:numRef>
          </c:val>
          <c:smooth val="0"/>
          <c:extLst>
            <c:ext xmlns:c16="http://schemas.microsoft.com/office/drawing/2014/chart" uri="{C3380CC4-5D6E-409C-BE32-E72D297353CC}">
              <c16:uniqueId val="{00000000-4B8D-46DC-9876-4E780C989EC0}"/>
            </c:ext>
          </c:extLst>
        </c:ser>
        <c:dLbls>
          <c:dLblPos val="ctr"/>
          <c:showLegendKey val="0"/>
          <c:showVal val="1"/>
          <c:showCatName val="0"/>
          <c:showSerName val="0"/>
          <c:showPercent val="0"/>
          <c:showBubbleSize val="0"/>
        </c:dLbls>
        <c:marker val="1"/>
        <c:smooth val="0"/>
        <c:axId val="861195672"/>
        <c:axId val="861196752"/>
      </c:lineChart>
      <c:catAx>
        <c:axId val="86119567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Années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fr-FR"/>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861196752"/>
        <c:crosses val="autoZero"/>
        <c:auto val="1"/>
        <c:lblAlgn val="ctr"/>
        <c:lblOffset val="100"/>
        <c:tickMarkSkip val="1"/>
        <c:noMultiLvlLbl val="0"/>
      </c:catAx>
      <c:valAx>
        <c:axId val="8611967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fr-CA"/>
                  <a:t>Émissions de SO2 en Gg</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fr-FR"/>
            </a:p>
          </c:txPr>
        </c:title>
        <c:numFmt formatCode="General" sourceLinked="1"/>
        <c:majorTickMark val="none"/>
        <c:minorTickMark val="none"/>
        <c:tickLblPos val="nextTo"/>
        <c:crossAx val="861195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fr-FR" sz="1200" u="sng"/>
              <a:t>Taux de Variations des émissions de SO2 entre</a:t>
            </a:r>
            <a:r>
              <a:rPr lang="fr-FR" sz="1200" u="sng" baseline="0"/>
              <a:t> les différents in</a:t>
            </a:r>
            <a:r>
              <a:rPr lang="fr-FR" sz="1200" u="sng"/>
              <a:t>ventaires nationaux</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fr-FR"/>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8646811569091757"/>
          <c:y val="0.23205815907440971"/>
          <c:w val="0.67901255033894869"/>
          <c:h val="0.55024084134142259"/>
        </c:manualLayout>
      </c:layout>
      <c:bar3DChart>
        <c:barDir val="col"/>
        <c:grouping val="percentStacked"/>
        <c:varyColors val="0"/>
        <c:ser>
          <c:idx val="0"/>
          <c:order val="0"/>
          <c:tx>
            <c:strRef>
              <c:f>Resume_CN!$C$1</c:f>
              <c:strCache>
                <c:ptCount val="1"/>
                <c:pt idx="0">
                  <c:v>Taux de variation </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Resume_CN!$B$11:$H$11</c:f>
              <c:numCache>
                <c:formatCode>General</c:formatCode>
                <c:ptCount val="7"/>
                <c:pt idx="0">
                  <c:v>1995</c:v>
                </c:pt>
                <c:pt idx="1">
                  <c:v>2000</c:v>
                </c:pt>
                <c:pt idx="2">
                  <c:v>2010</c:v>
                </c:pt>
                <c:pt idx="3">
                  <c:v>2012</c:v>
                </c:pt>
                <c:pt idx="4">
                  <c:v>2015</c:v>
                </c:pt>
                <c:pt idx="5">
                  <c:v>2018</c:v>
                </c:pt>
                <c:pt idx="6">
                  <c:v>2022</c:v>
                </c:pt>
              </c:numCache>
            </c:numRef>
          </c:cat>
          <c:val>
            <c:numRef>
              <c:f>Resume_CN!$C$2:$C$8</c:f>
              <c:numCache>
                <c:formatCode>General</c:formatCode>
                <c:ptCount val="7"/>
                <c:pt idx="2" formatCode="0%">
                  <c:v>2.4735413839891449</c:v>
                </c:pt>
                <c:pt idx="3" formatCode="0%">
                  <c:v>0</c:v>
                </c:pt>
                <c:pt idx="4" formatCode="0%">
                  <c:v>0.22397488194444429</c:v>
                </c:pt>
                <c:pt idx="5" formatCode="0%">
                  <c:v>2.3388818041143542E-2</c:v>
                </c:pt>
                <c:pt idx="6" formatCode="0%">
                  <c:v>9.8485342177118795E-2</c:v>
                </c:pt>
              </c:numCache>
            </c:numRef>
          </c:val>
          <c:extLst>
            <c:ext xmlns:c16="http://schemas.microsoft.com/office/drawing/2014/chart" uri="{C3380CC4-5D6E-409C-BE32-E72D297353CC}">
              <c16:uniqueId val="{00000000-502D-4DA1-BCE0-745CBF929ACA}"/>
            </c:ext>
          </c:extLst>
        </c:ser>
        <c:dLbls>
          <c:showLegendKey val="0"/>
          <c:showVal val="1"/>
          <c:showCatName val="0"/>
          <c:showSerName val="0"/>
          <c:showPercent val="0"/>
          <c:showBubbleSize val="0"/>
        </c:dLbls>
        <c:gapWidth val="150"/>
        <c:shape val="box"/>
        <c:axId val="230461440"/>
        <c:axId val="230462976"/>
        <c:axId val="0"/>
      </c:bar3DChart>
      <c:catAx>
        <c:axId val="23046144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30462976"/>
        <c:crosses val="autoZero"/>
        <c:auto val="1"/>
        <c:lblAlgn val="ctr"/>
        <c:lblOffset val="100"/>
        <c:noMultiLvlLbl val="0"/>
      </c:catAx>
      <c:valAx>
        <c:axId val="230462976"/>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fr-FR"/>
                  <a:t>Taux de variation</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title>
        <c:numFmt formatCode="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3046144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800" b="1"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plotVisOnly val="1"/>
    <c:dispBlanksAs val="gap"/>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fr-FR" sz="1500" b="1" i="0" u="none" strike="noStrike" kern="1200" cap="all" spc="100" normalizeH="0" baseline="0">
                <a:solidFill>
                  <a:schemeClr val="lt1"/>
                </a:solidFill>
                <a:latin typeface="+mn-lt"/>
                <a:ea typeface="+mn-ea"/>
                <a:cs typeface="+mn-cs"/>
              </a:defRPr>
            </a:pPr>
            <a:r>
              <a:rPr lang="en-US" sz="1200" u="sng"/>
              <a:t>Évolution des émisions de CO</a:t>
            </a:r>
            <a:r>
              <a:rPr lang="en-US" sz="1200" u="sng" baseline="-25000"/>
              <a:t>2</a:t>
            </a:r>
            <a:r>
              <a:rPr lang="en-US" sz="1200" u="sng"/>
              <a:t> de la production de ferroalliage de 1990 à 2022</a:t>
            </a:r>
            <a:endParaRPr lang="fr-FR" sz="1200" u="sng"/>
          </a:p>
        </c:rich>
      </c:tx>
      <c:overlay val="0"/>
      <c:spPr>
        <a:noFill/>
        <a:ln>
          <a:noFill/>
        </a:ln>
        <a:effectLst/>
      </c:spPr>
    </c:title>
    <c:autoTitleDeleted val="0"/>
    <c:plotArea>
      <c:layout/>
      <c:lineChart>
        <c:grouping val="standard"/>
        <c:varyColors val="0"/>
        <c:ser>
          <c:idx val="0"/>
          <c:order val="0"/>
          <c:tx>
            <c:strRef>
              <c:f>Calcul!$N$2</c:f>
              <c:strCache>
                <c:ptCount val="1"/>
                <c:pt idx="0">
                  <c:v>Total_Em_Eq-CO2</c:v>
                </c:pt>
              </c:strCache>
            </c:strRef>
          </c:tx>
          <c:spPr>
            <a:ln w="34925" cap="rnd">
              <a:solidFill>
                <a:schemeClr val="lt1"/>
              </a:solidFill>
              <a:round/>
            </a:ln>
            <a:effectLst>
              <a:outerShdw dist="25400" dir="2700000" algn="tl" rotWithShape="0">
                <a:schemeClr val="accent1"/>
              </a:outerShdw>
            </a:effectLst>
          </c:spPr>
          <c:marker>
            <c:symbol val="none"/>
          </c:marker>
          <c:cat>
            <c:strRef>
              <c:f>Calcul!$A$4:$A$36</c:f>
              <c:strCache>
                <c:ptCount val="3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strCache>
            </c:strRef>
          </c:cat>
          <c:val>
            <c:numRef>
              <c:f>Calcul!$N$4:$N$36</c:f>
              <c:numCache>
                <c:formatCode>General</c:formatCode>
                <c:ptCount val="33"/>
                <c:pt idx="0">
                  <c:v>14000</c:v>
                </c:pt>
                <c:pt idx="1">
                  <c:v>14000</c:v>
                </c:pt>
                <c:pt idx="2">
                  <c:v>14000</c:v>
                </c:pt>
                <c:pt idx="3">
                  <c:v>14000</c:v>
                </c:pt>
                <c:pt idx="4">
                  <c:v>14000</c:v>
                </c:pt>
                <c:pt idx="5">
                  <c:v>16440.2</c:v>
                </c:pt>
                <c:pt idx="6">
                  <c:v>15908.199999999995</c:v>
                </c:pt>
                <c:pt idx="7">
                  <c:v>16385.599999999991</c:v>
                </c:pt>
                <c:pt idx="8">
                  <c:v>15922.199999999995</c:v>
                </c:pt>
                <c:pt idx="9">
                  <c:v>14561.4</c:v>
                </c:pt>
                <c:pt idx="10">
                  <c:v>15882.999999999993</c:v>
                </c:pt>
                <c:pt idx="11">
                  <c:v>2800</c:v>
                </c:pt>
                <c:pt idx="12">
                  <c:v>2800</c:v>
                </c:pt>
                <c:pt idx="13">
                  <c:v>2800</c:v>
                </c:pt>
                <c:pt idx="14">
                  <c:v>2800</c:v>
                </c:pt>
                <c:pt idx="15">
                  <c:v>2800</c:v>
                </c:pt>
                <c:pt idx="16">
                  <c:v>2800</c:v>
                </c:pt>
                <c:pt idx="17">
                  <c:v>2190.0213999999996</c:v>
                </c:pt>
                <c:pt idx="18">
                  <c:v>2205.6704</c:v>
                </c:pt>
                <c:pt idx="19">
                  <c:v>1473.5797</c:v>
                </c:pt>
                <c:pt idx="20">
                  <c:v>2158.5835999999999</c:v>
                </c:pt>
                <c:pt idx="21">
                  <c:v>2173.3928999999998</c:v>
                </c:pt>
                <c:pt idx="22">
                  <c:v>2459.0767999999998</c:v>
                </c:pt>
                <c:pt idx="23">
                  <c:v>2776.0418999999997</c:v>
                </c:pt>
                <c:pt idx="24">
                  <c:v>2244.3143000000009</c:v>
                </c:pt>
                <c:pt idx="25">
                  <c:v>1700.7826</c:v>
                </c:pt>
                <c:pt idx="26">
                  <c:v>2323.5119000000009</c:v>
                </c:pt>
                <c:pt idx="27">
                  <c:v>2457.2623000000003</c:v>
                </c:pt>
                <c:pt idx="28">
                  <c:v>1946.0815</c:v>
                </c:pt>
                <c:pt idx="29">
                  <c:v>2062.3428999999987</c:v>
                </c:pt>
                <c:pt idx="30">
                  <c:v>2173.9</c:v>
                </c:pt>
                <c:pt idx="31">
                  <c:v>2299.8000000000002</c:v>
                </c:pt>
                <c:pt idx="32">
                  <c:v>2581</c:v>
                </c:pt>
              </c:numCache>
            </c:numRef>
          </c:val>
          <c:smooth val="0"/>
          <c:extLst>
            <c:ext xmlns:c16="http://schemas.microsoft.com/office/drawing/2014/chart" uri="{C3380CC4-5D6E-409C-BE32-E72D297353CC}">
              <c16:uniqueId val="{00000000-98A4-47B0-BA3D-F4BBE4F9E2DC}"/>
            </c:ext>
          </c:extLst>
        </c:ser>
        <c:dLbls>
          <c:showLegendKey val="0"/>
          <c:showVal val="0"/>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88448384"/>
        <c:axId val="88454656"/>
      </c:lineChart>
      <c:catAx>
        <c:axId val="88448384"/>
        <c:scaling>
          <c:orientation val="minMax"/>
        </c:scaling>
        <c:delete val="0"/>
        <c:axPos val="b"/>
        <c:title>
          <c:tx>
            <c:rich>
              <a:bodyPr rot="0" spcFirstLastPara="1" vertOverflow="ellipsis" vert="horz" wrap="square" anchor="ctr" anchorCtr="1"/>
              <a:lstStyle/>
              <a:p>
                <a:pPr>
                  <a:defRPr lang="fr-FR" sz="900" b="1" i="0" u="none" strike="noStrike" kern="1200" baseline="0">
                    <a:solidFill>
                      <a:schemeClr val="lt1"/>
                    </a:solidFill>
                    <a:latin typeface="+mn-lt"/>
                    <a:ea typeface="+mn-ea"/>
                    <a:cs typeface="+mn-cs"/>
                  </a:defRPr>
                </a:pPr>
                <a:r>
                  <a:rPr lang="en-US"/>
                  <a:t>Années</a:t>
                </a:r>
              </a:p>
            </c:rich>
          </c:tx>
          <c:overlay val="0"/>
          <c:spPr>
            <a:noFill/>
            <a:ln>
              <a:noFill/>
            </a:ln>
            <a:effectLst/>
          </c:spPr>
        </c:title>
        <c:numFmt formatCode="General" sourceLinked="0"/>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lang="fr-FR" sz="900" b="0" i="0" u="none" strike="noStrike" kern="1200" spc="100" baseline="0">
                <a:solidFill>
                  <a:schemeClr val="lt1"/>
                </a:solidFill>
                <a:latin typeface="+mn-lt"/>
                <a:ea typeface="+mn-ea"/>
                <a:cs typeface="+mn-cs"/>
              </a:defRPr>
            </a:pPr>
            <a:endParaRPr lang="fr-FR"/>
          </a:p>
        </c:txPr>
        <c:crossAx val="88454656"/>
        <c:crosses val="autoZero"/>
        <c:auto val="1"/>
        <c:lblAlgn val="ctr"/>
        <c:lblOffset val="100"/>
        <c:noMultiLvlLbl val="0"/>
      </c:catAx>
      <c:valAx>
        <c:axId val="88454656"/>
        <c:scaling>
          <c:orientation val="minMax"/>
        </c:scaling>
        <c:delete val="0"/>
        <c:axPos val="l"/>
        <c:title>
          <c:tx>
            <c:rich>
              <a:bodyPr rot="-5400000" spcFirstLastPara="1" vertOverflow="ellipsis" vert="horz" wrap="square" anchor="ctr" anchorCtr="1"/>
              <a:lstStyle/>
              <a:p>
                <a:pPr>
                  <a:defRPr lang="fr-FR" sz="900" b="1" i="0" u="none" strike="noStrike" kern="1200" baseline="0">
                    <a:solidFill>
                      <a:schemeClr val="lt1"/>
                    </a:solidFill>
                    <a:latin typeface="+mn-lt"/>
                    <a:ea typeface="+mn-ea"/>
                    <a:cs typeface="+mn-cs"/>
                  </a:defRPr>
                </a:pPr>
                <a:r>
                  <a:rPr lang="en-US"/>
                  <a:t>Emissions en Gg</a:t>
                </a:r>
                <a:endParaRPr lang="fr-F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lt1"/>
                </a:solidFill>
                <a:latin typeface="+mn-lt"/>
                <a:ea typeface="+mn-ea"/>
                <a:cs typeface="+mn-cs"/>
              </a:defRPr>
            </a:pPr>
            <a:endParaRPr lang="fr-FR"/>
          </a:p>
        </c:txPr>
        <c:crossAx val="884483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fr-FR" sz="900" b="0" i="0" u="none" strike="noStrike" kern="1200" baseline="0">
              <a:solidFill>
                <a:schemeClr val="lt1"/>
              </a:solidFill>
              <a:latin typeface="+mn-lt"/>
              <a:ea typeface="+mn-ea"/>
              <a:cs typeface="+mn-cs"/>
            </a:defRPr>
          </a:pPr>
          <a:endParaRPr lang="fr-FR"/>
        </a:p>
      </c:txPr>
    </c:legend>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fr-F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sz="1200" u="sng"/>
              <a:t>Taux de variation des émissions de CO2  </a:t>
            </a:r>
          </a:p>
          <a:p>
            <a:pPr>
              <a:defRPr/>
            </a:pPr>
            <a:r>
              <a:rPr lang="en-US" sz="1200" u="sng"/>
              <a:t>entre les Inventaires</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fr-FR"/>
        </a:p>
      </c:txPr>
    </c:title>
    <c:autoTitleDeleted val="0"/>
    <c:plotArea>
      <c:layout/>
      <c:barChart>
        <c:barDir val="col"/>
        <c:grouping val="clustered"/>
        <c:varyColors val="0"/>
        <c:ser>
          <c:idx val="0"/>
          <c:order val="0"/>
          <c:tx>
            <c:strRef>
              <c:f>Taux_Variation!$B$3:$B$9</c:f>
              <c:strCache>
                <c:ptCount val="7"/>
                <c:pt idx="0">
                  <c:v>1995</c:v>
                </c:pt>
                <c:pt idx="1">
                  <c:v>2000</c:v>
                </c:pt>
                <c:pt idx="2">
                  <c:v>2010</c:v>
                </c:pt>
                <c:pt idx="3">
                  <c:v>2012</c:v>
                </c:pt>
                <c:pt idx="4">
                  <c:v>2015</c:v>
                </c:pt>
                <c:pt idx="5">
                  <c:v>2018</c:v>
                </c:pt>
                <c:pt idx="6">
                  <c:v>2022</c:v>
                </c:pt>
              </c:strCache>
            </c:strRef>
          </c:tx>
          <c:spPr>
            <a:solidFill>
              <a:schemeClr val="accent6"/>
            </a:solidFill>
            <a:ln w="25400" cap="flat" cmpd="sng" algn="ctr">
              <a:solidFill>
                <a:schemeClr val="accent6">
                  <a:shade val="50000"/>
                </a:schemeClr>
              </a:solidFill>
              <a:prstDash val="solid"/>
            </a:ln>
            <a:effectLst/>
          </c:spPr>
          <c:invertIfNegative val="0"/>
          <c:cat>
            <c:strRef>
              <c:f>Taux_Variation!$B$3:$B$15</c:f>
              <c:strCache>
                <c:ptCount val="7"/>
                <c:pt idx="0">
                  <c:v>1995</c:v>
                </c:pt>
                <c:pt idx="1">
                  <c:v>2000</c:v>
                </c:pt>
                <c:pt idx="2">
                  <c:v>2010</c:v>
                </c:pt>
                <c:pt idx="3">
                  <c:v>2012</c:v>
                </c:pt>
                <c:pt idx="4">
                  <c:v>2015</c:v>
                </c:pt>
                <c:pt idx="5">
                  <c:v>2018</c:v>
                </c:pt>
                <c:pt idx="6">
                  <c:v>2022</c:v>
                </c:pt>
              </c:strCache>
            </c:strRef>
          </c:cat>
          <c:val>
            <c:numRef>
              <c:f>Taux_Variation!$E$3:$E$9</c:f>
              <c:numCache>
                <c:formatCode>0.0%</c:formatCode>
                <c:ptCount val="7"/>
                <c:pt idx="0" formatCode="General">
                  <c:v>0</c:v>
                </c:pt>
                <c:pt idx="1">
                  <c:v>-3.3892531721025444E-2</c:v>
                </c:pt>
                <c:pt idx="2">
                  <c:v>-0.86409471762261536</c:v>
                </c:pt>
                <c:pt idx="3">
                  <c:v>0.13920850691166184</c:v>
                </c:pt>
                <c:pt idx="4">
                  <c:v>-0.30836539956783776</c:v>
                </c:pt>
                <c:pt idx="5">
                  <c:v>0.1442270752299559</c:v>
                </c:pt>
                <c:pt idx="6">
                  <c:v>0.32625483567877295</c:v>
                </c:pt>
              </c:numCache>
            </c:numRef>
          </c:val>
          <c:extLst>
            <c:ext xmlns:c16="http://schemas.microsoft.com/office/drawing/2014/chart" uri="{C3380CC4-5D6E-409C-BE32-E72D297353CC}">
              <c16:uniqueId val="{00000000-7759-4C91-8CFB-E9B5F7BF864E}"/>
            </c:ext>
          </c:extLst>
        </c:ser>
        <c:dLbls>
          <c:showLegendKey val="0"/>
          <c:showVal val="0"/>
          <c:showCatName val="0"/>
          <c:showSerName val="0"/>
          <c:showPercent val="0"/>
          <c:showBubbleSize val="0"/>
        </c:dLbls>
        <c:gapWidth val="269"/>
        <c:overlap val="-20"/>
        <c:axId val="229697024"/>
        <c:axId val="229698560"/>
      </c:barChart>
      <c:catAx>
        <c:axId val="229697024"/>
        <c:scaling>
          <c:orientation val="minMax"/>
        </c:scaling>
        <c:delete val="0"/>
        <c:axPos val="b"/>
        <c:majorGridlines>
          <c:spPr>
            <a:ln w="9525" cap="flat" cmpd="sng" algn="ctr">
              <a:solidFill>
                <a:schemeClr val="accent6">
                  <a:shade val="95000"/>
                  <a:satMod val="105000"/>
                </a:schemeClr>
              </a:solidFill>
              <a:prstDash val="solid"/>
              <a:round/>
            </a:ln>
            <a:effectLst/>
          </c:spPr>
        </c:majorGridlines>
        <c:numFmt formatCode="General" sourceLinked="0"/>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800" b="0" i="0" u="none" strike="noStrike" kern="1200" cap="all" spc="150" normalizeH="0" baseline="0">
                <a:solidFill>
                  <a:schemeClr val="lt1"/>
                </a:solidFill>
                <a:latin typeface="+mn-lt"/>
                <a:ea typeface="+mn-ea"/>
                <a:cs typeface="+mn-cs"/>
              </a:defRPr>
            </a:pPr>
            <a:endParaRPr lang="fr-FR"/>
          </a:p>
        </c:txPr>
        <c:crossAx val="229698560"/>
        <c:crosses val="autoZero"/>
        <c:auto val="1"/>
        <c:lblAlgn val="ctr"/>
        <c:lblOffset val="100"/>
        <c:noMultiLvlLbl val="0"/>
      </c:catAx>
      <c:valAx>
        <c:axId val="229698560"/>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fr-FR"/>
                  <a:t>Taux de variation </a:t>
                </a:r>
              </a:p>
            </c:rich>
          </c:tx>
          <c:layout>
            <c:manualLayout>
              <c:xMode val="edge"/>
              <c:yMode val="edge"/>
              <c:x val="0.1178010966450975"/>
              <c:y val="0.4041469816272969"/>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fr-FR"/>
          </a:p>
        </c:txPr>
        <c:crossAx val="229697024"/>
        <c:crosses val="autoZero"/>
        <c:crossBetween val="between"/>
      </c:valAx>
      <c:dTable>
        <c:showHorzBorder val="1"/>
        <c:showVertBorder val="1"/>
        <c:showOutline val="1"/>
        <c:showKeys val="1"/>
        <c:spPr>
          <a:noFill/>
          <a:ln w="9525">
            <a:solidFill>
              <a:schemeClr val="accent1">
                <a:lumMod val="60000"/>
                <a:lumOff val="40000"/>
              </a:schemeClr>
            </a:solidFill>
          </a:ln>
          <a:effectLst/>
        </c:spPr>
        <c:txPr>
          <a:bodyPr rot="0" spcFirstLastPara="1" vertOverflow="ellipsis" vert="horz" wrap="square" anchor="ctr" anchorCtr="1"/>
          <a:lstStyle/>
          <a:p>
            <a:pPr rtl="0">
              <a:defRPr sz="900" b="0" i="0" u="none" strike="noStrike" kern="1200" baseline="0">
                <a:solidFill>
                  <a:schemeClr val="lt1"/>
                </a:solidFill>
                <a:latin typeface="+mn-lt"/>
                <a:ea typeface="+mn-ea"/>
                <a:cs typeface="+mn-cs"/>
              </a:defRPr>
            </a:pPr>
            <a:endParaRPr lang="fr-FR"/>
          </a:p>
        </c:txPr>
      </c:dTable>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200" u="sng"/>
              <a:t>ÉVOLUTION DES ÉMISSIONS DE CO2 DUES À L'USAGE DE LUBRIFIANTS 1990-2022</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fr-FR"/>
        </a:p>
      </c:txPr>
    </c:title>
    <c:autoTitleDeleted val="0"/>
    <c:plotArea>
      <c:layout/>
      <c:lineChart>
        <c:grouping val="standard"/>
        <c:varyColors val="0"/>
        <c:ser>
          <c:idx val="0"/>
          <c:order val="0"/>
          <c:tx>
            <c:strRef>
              <c:f>'Huile_Graisse 2024'!$T$1</c:f>
              <c:strCache>
                <c:ptCount val="1"/>
                <c:pt idx="0">
                  <c:v>Tot_Em_Gg</c:v>
                </c:pt>
              </c:strCache>
            </c:strRef>
          </c:tx>
          <c:spPr>
            <a:ln w="22225" cap="rnd">
              <a:solidFill>
                <a:schemeClr val="accent2"/>
              </a:solidFill>
              <a:round/>
            </a:ln>
            <a:effectLst/>
          </c:spPr>
          <c:marker>
            <c:symbol val="none"/>
          </c:marker>
          <c:cat>
            <c:numRef>
              <c:f>'Huile_Graisse 2024'!$A$2:$A$34</c:f>
              <c:numCache>
                <c:formatCode>General</c:formatCode>
                <c:ptCount val="3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numCache>
            </c:numRef>
          </c:cat>
          <c:val>
            <c:numRef>
              <c:f>'Huile_Graisse 2024'!$T$1:$T$34</c:f>
              <c:numCache>
                <c:formatCode>0.000</c:formatCode>
                <c:ptCount val="34"/>
                <c:pt idx="0" formatCode="General">
                  <c:v>0</c:v>
                </c:pt>
                <c:pt idx="1">
                  <c:v>2.3724030000000003</c:v>
                </c:pt>
                <c:pt idx="2">
                  <c:v>2.5426500000000005</c:v>
                </c:pt>
                <c:pt idx="3">
                  <c:v>2.7613916000000005</c:v>
                </c:pt>
                <c:pt idx="4">
                  <c:v>3.2644678000000003</c:v>
                </c:pt>
                <c:pt idx="5">
                  <c:v>3.7134482000000002</c:v>
                </c:pt>
                <c:pt idx="6">
                  <c:v>3.265647</c:v>
                </c:pt>
                <c:pt idx="7">
                  <c:v>2.9874589800000004</c:v>
                </c:pt>
                <c:pt idx="8">
                  <c:v>3.2498604600000007</c:v>
                </c:pt>
                <c:pt idx="9">
                  <c:v>3.0056481400000008</c:v>
                </c:pt>
                <c:pt idx="10">
                  <c:v>2.8487113599999998</c:v>
                </c:pt>
                <c:pt idx="11">
                  <c:v>3.42256904</c:v>
                </c:pt>
                <c:pt idx="12">
                  <c:v>3.9364349199999999</c:v>
                </c:pt>
                <c:pt idx="13">
                  <c:v>4.6672441199999994</c:v>
                </c:pt>
                <c:pt idx="14">
                  <c:v>4.1285265999999998</c:v>
                </c:pt>
                <c:pt idx="15">
                  <c:v>4.4987806600000004</c:v>
                </c:pt>
                <c:pt idx="16">
                  <c:v>3.7726293000000002</c:v>
                </c:pt>
                <c:pt idx="17">
                  <c:v>4.260641220000001</c:v>
                </c:pt>
                <c:pt idx="18">
                  <c:v>6.3676063000000003</c:v>
                </c:pt>
                <c:pt idx="19">
                  <c:v>5.3326077200000004</c:v>
                </c:pt>
                <c:pt idx="20">
                  <c:v>6.2415645600000014</c:v>
                </c:pt>
                <c:pt idx="21">
                  <c:v>5.7046895400000004</c:v>
                </c:pt>
                <c:pt idx="22">
                  <c:v>6.4431488000000003</c:v>
                </c:pt>
                <c:pt idx="23">
                  <c:v>6.7833480000000002</c:v>
                </c:pt>
                <c:pt idx="24">
                  <c:v>6.3430120200236848</c:v>
                </c:pt>
                <c:pt idx="25">
                  <c:v>6.5473553658475065</c:v>
                </c:pt>
                <c:pt idx="26" formatCode="0.00000">
                  <c:v>6.7569784362159728</c:v>
                </c:pt>
                <c:pt idx="27" formatCode="0.00000">
                  <c:v>6.9771869380803828</c:v>
                </c:pt>
                <c:pt idx="28" formatCode="0.00000">
                  <c:v>7.2380124588964252</c:v>
                </c:pt>
                <c:pt idx="29" formatCode="0.00000">
                  <c:v>7.5445179907761952</c:v>
                </c:pt>
                <c:pt idx="30" formatCode="0.00000">
                  <c:v>7.818306130125678</c:v>
                </c:pt>
                <c:pt idx="31" formatCode="0.00000">
                  <c:v>8.0614799578147078</c:v>
                </c:pt>
                <c:pt idx="32" formatCode="0.00000">
                  <c:v>8.315590276138547</c:v>
                </c:pt>
                <c:pt idx="33" formatCode="0.00000">
                  <c:v>8.5326895457363854</c:v>
                </c:pt>
              </c:numCache>
            </c:numRef>
          </c:val>
          <c:smooth val="0"/>
          <c:extLst>
            <c:ext xmlns:c16="http://schemas.microsoft.com/office/drawing/2014/chart" uri="{C3380CC4-5D6E-409C-BE32-E72D297353CC}">
              <c16:uniqueId val="{00000000-6926-47E6-B7DA-B8A037260E3D}"/>
            </c:ext>
          </c:extLst>
        </c:ser>
        <c:dLbls>
          <c:showLegendKey val="0"/>
          <c:showVal val="0"/>
          <c:showCatName val="0"/>
          <c:showSerName val="0"/>
          <c:showPercent val="0"/>
          <c:showBubbleSize val="0"/>
        </c:dLbls>
        <c:smooth val="0"/>
        <c:axId val="57270656"/>
        <c:axId val="102478208"/>
      </c:lineChart>
      <c:catAx>
        <c:axId val="5727065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Années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fr-FR"/>
          </a:p>
        </c:txPr>
        <c:crossAx val="102478208"/>
        <c:crosses val="autoZero"/>
        <c:auto val="1"/>
        <c:lblAlgn val="ctr"/>
        <c:lblOffset val="100"/>
        <c:noMultiLvlLbl val="0"/>
      </c:catAx>
      <c:valAx>
        <c:axId val="102478208"/>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Emissions en TJ</a:t>
                </a:r>
                <a:endParaRPr lang="fr-FR"/>
              </a:p>
              <a:p>
                <a:pPr>
                  <a:defRPr/>
                </a:pPr>
                <a:endParaRPr lang="fr-F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crossAx val="5727065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showDLblsOverMax val="0"/>
  </c:chart>
  <c:spPr>
    <a:solidFill>
      <a:schemeClr val="lt1"/>
    </a:solidFill>
    <a:ln w="12700" cap="flat" cmpd="sng" algn="ctr">
      <a:solidFill>
        <a:schemeClr val="tx1"/>
      </a:solidFill>
      <a:round/>
    </a:ln>
    <a:effectLst/>
  </c:spPr>
  <c:txPr>
    <a:bodyPr/>
    <a:lstStyle/>
    <a:p>
      <a:pPr>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n-US" sz="1200" u="sng"/>
              <a:t>TAUX DE VARIATION DES ÉMISSIONS DE COVNM DES LUBRIFIANTS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r>
              <a:rPr lang="fr-FR" sz="1200" u="sng">
                <a:effectLst/>
              </a:rPr>
              <a:t>ENTRE LES INVENTAIRES </a:t>
            </a:r>
            <a:endParaRPr lang="fr-CA" sz="1200" u="sng">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endParaRPr lang="en-US"/>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fr-F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'Huile_Graisse 2024'!$X$3</c:f>
              <c:strCache>
                <c:ptCount val="1"/>
                <c:pt idx="0">
                  <c:v>Taux_Var_Em_Lub (%)</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numRef>
              <c:f>'Huile_Graisse 2024'!$V$4:$V$12</c:f>
              <c:numCache>
                <c:formatCode>General</c:formatCode>
                <c:ptCount val="9"/>
                <c:pt idx="0">
                  <c:v>1995</c:v>
                </c:pt>
                <c:pt idx="1">
                  <c:v>2000</c:v>
                </c:pt>
                <c:pt idx="2">
                  <c:v>2010</c:v>
                </c:pt>
                <c:pt idx="3">
                  <c:v>2012</c:v>
                </c:pt>
                <c:pt idx="4">
                  <c:v>2015</c:v>
                </c:pt>
                <c:pt idx="5">
                  <c:v>2018</c:v>
                </c:pt>
                <c:pt idx="6">
                  <c:v>2022</c:v>
                </c:pt>
              </c:numCache>
            </c:numRef>
          </c:cat>
          <c:val>
            <c:numRef>
              <c:f>'Huile_Graisse 2024'!$X$4:$X$12</c:f>
              <c:numCache>
                <c:formatCode>0.0%</c:formatCode>
                <c:ptCount val="9"/>
                <c:pt idx="0">
                  <c:v>0</c:v>
                </c:pt>
                <c:pt idx="1">
                  <c:v>4.8052358384111933E-2</c:v>
                </c:pt>
                <c:pt idx="2">
                  <c:v>0.6667858188771556</c:v>
                </c:pt>
                <c:pt idx="3">
                  <c:v>0.18908276295084758</c:v>
                </c:pt>
                <c:pt idx="4">
                  <c:v>-3.8873965752645049E-3</c:v>
                </c:pt>
                <c:pt idx="5">
                  <c:v>0.11655203017064214</c:v>
                </c:pt>
                <c:pt idx="6">
                  <c:v>0.13097875254168823</c:v>
                </c:pt>
              </c:numCache>
            </c:numRef>
          </c:val>
          <c:extLst>
            <c:ext xmlns:c16="http://schemas.microsoft.com/office/drawing/2014/chart" uri="{C3380CC4-5D6E-409C-BE32-E72D297353CC}">
              <c16:uniqueId val="{00000000-6CFF-4142-837B-0D71BE62F2E1}"/>
            </c:ext>
          </c:extLst>
        </c:ser>
        <c:dLbls>
          <c:showLegendKey val="0"/>
          <c:showVal val="0"/>
          <c:showCatName val="0"/>
          <c:showSerName val="0"/>
          <c:showPercent val="0"/>
          <c:showBubbleSize val="0"/>
        </c:dLbls>
        <c:gapWidth val="65"/>
        <c:shape val="box"/>
        <c:axId val="129205376"/>
        <c:axId val="234978304"/>
        <c:axId val="0"/>
      </c:bar3DChart>
      <c:catAx>
        <c:axId val="1292053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234978304"/>
        <c:crosses val="autoZero"/>
        <c:auto val="1"/>
        <c:lblAlgn val="ctr"/>
        <c:lblOffset val="100"/>
        <c:noMultiLvlLbl val="0"/>
      </c:catAx>
      <c:valAx>
        <c:axId val="234978304"/>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fr-FR"/>
                  <a:t>Taux de variation (%)</a:t>
                </a:r>
              </a:p>
              <a:p>
                <a:pPr>
                  <a:defRPr/>
                </a:pPr>
                <a:endParaRPr lang="fr-FR"/>
              </a:p>
            </c:rich>
          </c:tx>
          <c:layout>
            <c:manualLayout>
              <c:xMode val="edge"/>
              <c:yMode val="edge"/>
              <c:x val="5.2648453665514031E-2"/>
              <c:y val="0.39959346537066465"/>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fr-F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crossAx val="129205376"/>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fr-FR"/>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sz="1200" b="1" u="sng"/>
              <a:t>ĖVOLUTION COMPARÉE DES ÉMISSIONS ANNUELLES</a:t>
            </a:r>
            <a:r>
              <a:rPr lang="en-US" sz="1200" b="1" u="sng" baseline="0"/>
              <a:t> </a:t>
            </a:r>
            <a:r>
              <a:rPr lang="en-US" sz="1200" b="1" u="sng"/>
              <a:t>DE CO</a:t>
            </a:r>
            <a:r>
              <a:rPr lang="en-US" sz="1200" b="1" u="sng" baseline="-25000"/>
              <a:t>2</a:t>
            </a:r>
            <a:r>
              <a:rPr lang="en-US" sz="1200" b="1" u="sng"/>
              <a:t> ET DE COVNM DE 1990 À 2022</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fr-FR"/>
        </a:p>
      </c:txPr>
    </c:title>
    <c:autoTitleDeleted val="0"/>
    <c:plotArea>
      <c:layout/>
      <c:barChart>
        <c:barDir val="col"/>
        <c:grouping val="clustered"/>
        <c:varyColors val="0"/>
        <c:ser>
          <c:idx val="1"/>
          <c:order val="0"/>
          <c:tx>
            <c:strRef>
              <c:f>Feuil6!$B$1</c:f>
              <c:strCache>
                <c:ptCount val="1"/>
                <c:pt idx="0">
                  <c:v>Tot_Em_Gg_Lubrifiants</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cat>
            <c:numRef>
              <c:f>Feuil6!$A$2:$A$34</c:f>
              <c:numCache>
                <c:formatCode>General</c:formatCode>
                <c:ptCount val="3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numCache>
            </c:numRef>
          </c:cat>
          <c:val>
            <c:numRef>
              <c:f>Feuil6!$B$2:$B$34</c:f>
              <c:numCache>
                <c:formatCode>General</c:formatCode>
                <c:ptCount val="33"/>
                <c:pt idx="0">
                  <c:v>2.3724030000000003</c:v>
                </c:pt>
                <c:pt idx="1">
                  <c:v>2.5426500000000005</c:v>
                </c:pt>
                <c:pt idx="2">
                  <c:v>2.7613916000000005</c:v>
                </c:pt>
                <c:pt idx="3">
                  <c:v>3.2644678000000003</c:v>
                </c:pt>
                <c:pt idx="4">
                  <c:v>3.7134482000000002</c:v>
                </c:pt>
                <c:pt idx="5">
                  <c:v>3.265647</c:v>
                </c:pt>
                <c:pt idx="6">
                  <c:v>2.9874589800000004</c:v>
                </c:pt>
                <c:pt idx="7">
                  <c:v>3.2498604600000007</c:v>
                </c:pt>
                <c:pt idx="8">
                  <c:v>3.0056481400000008</c:v>
                </c:pt>
                <c:pt idx="9">
                  <c:v>2.8487113599999998</c:v>
                </c:pt>
                <c:pt idx="10">
                  <c:v>3.42256904</c:v>
                </c:pt>
                <c:pt idx="11">
                  <c:v>3.9364349199999999</c:v>
                </c:pt>
                <c:pt idx="12">
                  <c:v>4.6672441199999994</c:v>
                </c:pt>
                <c:pt idx="13">
                  <c:v>4.1285265999999998</c:v>
                </c:pt>
                <c:pt idx="14">
                  <c:v>4.4987806600000004</c:v>
                </c:pt>
                <c:pt idx="15">
                  <c:v>3.7726293000000002</c:v>
                </c:pt>
                <c:pt idx="16">
                  <c:v>4.260641220000001</c:v>
                </c:pt>
                <c:pt idx="17">
                  <c:v>6.3676063000000003</c:v>
                </c:pt>
                <c:pt idx="18">
                  <c:v>5.3326077200000004</c:v>
                </c:pt>
                <c:pt idx="19">
                  <c:v>6.2415645600000014</c:v>
                </c:pt>
                <c:pt idx="20">
                  <c:v>5.7046895400000004</c:v>
                </c:pt>
                <c:pt idx="21">
                  <c:v>6.4431488000000003</c:v>
                </c:pt>
                <c:pt idx="22">
                  <c:v>6.7833480000000002</c:v>
                </c:pt>
                <c:pt idx="23">
                  <c:v>6.3430120200236848</c:v>
                </c:pt>
                <c:pt idx="24">
                  <c:v>6.5473553658475065</c:v>
                </c:pt>
                <c:pt idx="25">
                  <c:v>6.7569784362159728</c:v>
                </c:pt>
                <c:pt idx="26">
                  <c:v>6.9771869380803828</c:v>
                </c:pt>
                <c:pt idx="27">
                  <c:v>7.2380124588964252</c:v>
                </c:pt>
                <c:pt idx="28">
                  <c:v>7.5445179907761952</c:v>
                </c:pt>
                <c:pt idx="29">
                  <c:v>7.818306130125678</c:v>
                </c:pt>
                <c:pt idx="30">
                  <c:v>8.0614799578147078</c:v>
                </c:pt>
                <c:pt idx="31">
                  <c:v>8.315590276138547</c:v>
                </c:pt>
                <c:pt idx="32">
                  <c:v>8.5326895457363854</c:v>
                </c:pt>
              </c:numCache>
            </c:numRef>
          </c:val>
          <c:extLst>
            <c:ext xmlns:c16="http://schemas.microsoft.com/office/drawing/2014/chart" uri="{C3380CC4-5D6E-409C-BE32-E72D297353CC}">
              <c16:uniqueId val="{00000000-51A2-4D00-8FE4-2BDA929883C6}"/>
            </c:ext>
          </c:extLst>
        </c:ser>
        <c:ser>
          <c:idx val="2"/>
          <c:order val="1"/>
          <c:tx>
            <c:strRef>
              <c:f>Feuil6!$C$1</c:f>
              <c:strCache>
                <c:ptCount val="1"/>
                <c:pt idx="0">
                  <c:v>Total_Em_Eq-CO2_ferroalliage</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cat>
            <c:numRef>
              <c:f>Feuil6!$A$2:$A$34</c:f>
              <c:numCache>
                <c:formatCode>General</c:formatCode>
                <c:ptCount val="3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numCache>
            </c:numRef>
          </c:cat>
          <c:val>
            <c:numRef>
              <c:f>Feuil6!$C$2:$C$34</c:f>
              <c:numCache>
                <c:formatCode>General</c:formatCode>
                <c:ptCount val="33"/>
                <c:pt idx="0">
                  <c:v>14</c:v>
                </c:pt>
                <c:pt idx="1">
                  <c:v>14</c:v>
                </c:pt>
                <c:pt idx="2">
                  <c:v>14</c:v>
                </c:pt>
                <c:pt idx="3">
                  <c:v>14</c:v>
                </c:pt>
                <c:pt idx="4">
                  <c:v>14</c:v>
                </c:pt>
                <c:pt idx="5">
                  <c:v>16.440200000000001</c:v>
                </c:pt>
                <c:pt idx="6">
                  <c:v>15.908199999999999</c:v>
                </c:pt>
                <c:pt idx="7">
                  <c:v>16.3856</c:v>
                </c:pt>
                <c:pt idx="8">
                  <c:v>15.922199999999998</c:v>
                </c:pt>
                <c:pt idx="9">
                  <c:v>14.561399999999999</c:v>
                </c:pt>
                <c:pt idx="10">
                  <c:v>15.882999999999997</c:v>
                </c:pt>
                <c:pt idx="11">
                  <c:v>2.8</c:v>
                </c:pt>
                <c:pt idx="12">
                  <c:v>2.8</c:v>
                </c:pt>
                <c:pt idx="13">
                  <c:v>2.8</c:v>
                </c:pt>
                <c:pt idx="14">
                  <c:v>2.8</c:v>
                </c:pt>
                <c:pt idx="15">
                  <c:v>2.8</c:v>
                </c:pt>
                <c:pt idx="16">
                  <c:v>2.8</c:v>
                </c:pt>
                <c:pt idx="17">
                  <c:v>4.9617813999999996</c:v>
                </c:pt>
                <c:pt idx="18">
                  <c:v>3.1899704</c:v>
                </c:pt>
                <c:pt idx="19">
                  <c:v>2.2661197000000004</c:v>
                </c:pt>
                <c:pt idx="20">
                  <c:v>3.1482535999999999</c:v>
                </c:pt>
                <c:pt idx="21">
                  <c:v>3.2177829</c:v>
                </c:pt>
                <c:pt idx="22">
                  <c:v>3.3597967999999998</c:v>
                </c:pt>
                <c:pt idx="23">
                  <c:v>5.4536618999999993</c:v>
                </c:pt>
                <c:pt idx="24">
                  <c:v>4.1068942999999996</c:v>
                </c:pt>
                <c:pt idx="25">
                  <c:v>2.5068526000000002</c:v>
                </c:pt>
                <c:pt idx="26">
                  <c:v>2.9631419000000001</c:v>
                </c:pt>
                <c:pt idx="27">
                  <c:v>3.2090623000000003</c:v>
                </c:pt>
                <c:pt idx="28">
                  <c:v>2.6281615</c:v>
                </c:pt>
                <c:pt idx="29">
                  <c:v>2.5141728999999997</c:v>
                </c:pt>
                <c:pt idx="30">
                  <c:v>2.7139000000000002</c:v>
                </c:pt>
                <c:pt idx="31">
                  <c:v>2.6598000000000002</c:v>
                </c:pt>
                <c:pt idx="32">
                  <c:v>3.331</c:v>
                </c:pt>
              </c:numCache>
            </c:numRef>
          </c:val>
          <c:extLst>
            <c:ext xmlns:c16="http://schemas.microsoft.com/office/drawing/2014/chart" uri="{C3380CC4-5D6E-409C-BE32-E72D297353CC}">
              <c16:uniqueId val="{00000001-51A2-4D00-8FE4-2BDA929883C6}"/>
            </c:ext>
          </c:extLst>
        </c:ser>
        <c:dLbls>
          <c:showLegendKey val="0"/>
          <c:showVal val="0"/>
          <c:showCatName val="0"/>
          <c:showSerName val="0"/>
          <c:showPercent val="0"/>
          <c:showBubbleSize val="0"/>
        </c:dLbls>
        <c:gapWidth val="150"/>
        <c:axId val="1123933512"/>
        <c:axId val="1123934592"/>
      </c:barChart>
      <c:catAx>
        <c:axId val="112393351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fr-FR"/>
          </a:p>
        </c:txPr>
        <c:crossAx val="1123934592"/>
        <c:crosses val="autoZero"/>
        <c:auto val="1"/>
        <c:lblAlgn val="ctr"/>
        <c:lblOffset val="100"/>
        <c:noMultiLvlLbl val="0"/>
      </c:catAx>
      <c:valAx>
        <c:axId val="1123934592"/>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fr-FR"/>
                  <a:t>Gg  EqCO2</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fr-FR"/>
          </a:p>
        </c:txPr>
        <c:crossAx val="1123933512"/>
        <c:crosses val="autoZero"/>
        <c:crossBetween val="between"/>
      </c:valAx>
      <c:spPr>
        <a:gradFill>
          <a:gsLst>
            <a:gs pos="100000">
              <a:schemeClr val="lt1">
                <a:lumMod val="95000"/>
              </a:schemeClr>
            </a:gs>
            <a:gs pos="0">
              <a:schemeClr val="lt1"/>
            </a:gs>
          </a:gsLst>
          <a:lin ang="5400000" scaled="0"/>
        </a:gradFill>
        <a:ln w="12700">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4">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AA2E4-7FB3-445D-B921-9C724619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40</Pages>
  <Words>9821</Words>
  <Characters>54020</Characters>
  <Application>Microsoft Office Word</Application>
  <DocSecurity>0</DocSecurity>
  <Lines>450</Lines>
  <Paragraphs>127</Paragraphs>
  <ScaleCrop>false</ScaleCrop>
  <HeadingPairs>
    <vt:vector size="4" baseType="variant">
      <vt:variant>
        <vt:lpstr>Titre</vt:lpstr>
      </vt:variant>
      <vt:variant>
        <vt:i4>1</vt:i4>
      </vt:variant>
      <vt:variant>
        <vt:lpstr>Titres</vt:lpstr>
      </vt:variant>
      <vt:variant>
        <vt:i4>41</vt:i4>
      </vt:variant>
    </vt:vector>
  </HeadingPairs>
  <TitlesOfParts>
    <vt:vector size="42" baseType="lpstr">
      <vt:lpstr/>
      <vt:lpstr>Résumé exécutif</vt:lpstr>
      <vt:lpstr>Introduction</vt:lpstr>
      <vt:lpstr>Dispositif institutionnel de l’IGES</vt:lpstr>
      <vt:lpstr>    La Cellule de Coordination du Programme National sur le Changement Climatique</vt:lpstr>
      <vt:lpstr>    Le Groupe de Travail Sectoriel (GTS)</vt:lpstr>
      <vt:lpstr>    L’équipe des experts nationaux</vt:lpstr>
      <vt:lpstr>La collecte des données</vt:lpstr>
      <vt:lpstr>    Les sources de données</vt:lpstr>
      <vt:lpstr>    Portrait du secteur industriel mauritanien</vt:lpstr>
      <vt:lpstr>Les données d’activités</vt:lpstr>
      <vt:lpstr>    2A L’industrie minérale</vt:lpstr>
      <vt:lpstr>    2A1 L’industrie du ciment</vt:lpstr>
      <vt:lpstr>        Ciment de Mauritanie</vt:lpstr>
      <vt:lpstr>        Mauritano-française de ciment (MAFCI)</vt:lpstr>
      <vt:lpstr>        Mauricim</vt:lpstr>
      <vt:lpstr>        Ciment du Sahel</vt:lpstr>
      <vt:lpstr>    2BL’industrie chimique</vt:lpstr>
      <vt:lpstr>    2C L’industrie métallique</vt:lpstr>
      <vt:lpstr>    2D Produits non énergétiques provenant de combustibles et de l’utilisation de so</vt:lpstr>
      <vt:lpstr>    2E L’industrie électronique</vt:lpstr>
      <vt:lpstr>    2F Utilisation de produits comme substituts des substances appauvrissant l’ozone</vt:lpstr>
      <vt:lpstr>    2G Autres fabrications et utilisations de produits</vt:lpstr>
      <vt:lpstr>    2H Autres</vt:lpstr>
      <vt:lpstr>Estimation des émissions de GES des différents secteurs</vt:lpstr>
      <vt:lpstr>    Les émissions de SO2</vt:lpstr>
      <vt:lpstr>        Incertitudes</vt:lpstr>
      <vt:lpstr>        Assurance et contrôle qualité </vt:lpstr>
      <vt:lpstr>    Émissions de l’industrie métallique</vt:lpstr>
      <vt:lpstr>        Incertitudes</vt:lpstr>
      <vt:lpstr>        Assurance et contrôle qualité</vt:lpstr>
      <vt:lpstr>    Émissions des Produits non énergétiques provenant de combustibles et de l’utilis</vt:lpstr>
      <vt:lpstr>        Incertitudes</vt:lpstr>
      <vt:lpstr>        Assurance et contrôle qualité </vt:lpstr>
      <vt:lpstr>        Émissions de COVNM liées à l’usage d’asphalte</vt:lpstr>
      <vt:lpstr>        Incertitudes</vt:lpstr>
      <vt:lpstr>        Assurance et contrôle qualité</vt:lpstr>
      <vt:lpstr>        Evolutions comparées des émissions de CO2 et COVNM</vt:lpstr>
      <vt:lpstr>    Émissions dues à l’utilisation de produits substituts de SAO</vt:lpstr>
      <vt:lpstr>        Incertitudes</vt:lpstr>
      <vt:lpstr>        Assurance et contrôle qualité</vt:lpstr>
      <vt:lpstr>Conclusion</vt:lpstr>
    </vt:vector>
  </TitlesOfParts>
  <Company>Ville de Montréal</Company>
  <LinksUpToDate>false</LinksUpToDate>
  <CharactersWithSpaces>63714</CharactersWithSpaces>
  <SharedDoc>false</SharedDoc>
  <HLinks>
    <vt:vector size="240" baseType="variant">
      <vt:variant>
        <vt:i4>7405614</vt:i4>
      </vt:variant>
      <vt:variant>
        <vt:i4>132</vt:i4>
      </vt:variant>
      <vt:variant>
        <vt:i4>0</vt:i4>
      </vt:variant>
      <vt:variant>
        <vt:i4>5</vt:i4>
      </vt:variant>
      <vt:variant>
        <vt:lpwstr>http://www.environnement.gov.mr/fr/</vt:lpwstr>
      </vt:variant>
      <vt:variant>
        <vt:lpwstr/>
      </vt:variant>
      <vt:variant>
        <vt:i4>7864427</vt:i4>
      </vt:variant>
      <vt:variant>
        <vt:i4>129</vt:i4>
      </vt:variant>
      <vt:variant>
        <vt:i4>0</vt:i4>
      </vt:variant>
      <vt:variant>
        <vt:i4>5</vt:i4>
      </vt:variant>
      <vt:variant>
        <vt:lpwstr>http://www.ipcc-nggip.iges.or.jp/public/2006gl/french/</vt:lpwstr>
      </vt:variant>
      <vt:variant>
        <vt:lpwstr/>
      </vt:variant>
      <vt:variant>
        <vt:i4>8323114</vt:i4>
      </vt:variant>
      <vt:variant>
        <vt:i4>126</vt:i4>
      </vt:variant>
      <vt:variant>
        <vt:i4>0</vt:i4>
      </vt:variant>
      <vt:variant>
        <vt:i4>5</vt:i4>
      </vt:variant>
      <vt:variant>
        <vt:lpwstr>http://www.ciment.mr/productos.html</vt:lpwstr>
      </vt:variant>
      <vt:variant>
        <vt:lpwstr/>
      </vt:variant>
      <vt:variant>
        <vt:i4>4587529</vt:i4>
      </vt:variant>
      <vt:variant>
        <vt:i4>123</vt:i4>
      </vt:variant>
      <vt:variant>
        <vt:i4>0</vt:i4>
      </vt:variant>
      <vt:variant>
        <vt:i4>5</vt:i4>
      </vt:variant>
      <vt:variant>
        <vt:lpwstr>https://fr.wikipedia.org/wiki/Solvant</vt:lpwstr>
      </vt:variant>
      <vt:variant>
        <vt:lpwstr/>
      </vt:variant>
      <vt:variant>
        <vt:i4>7667810</vt:i4>
      </vt:variant>
      <vt:variant>
        <vt:i4>120</vt:i4>
      </vt:variant>
      <vt:variant>
        <vt:i4>0</vt:i4>
      </vt:variant>
      <vt:variant>
        <vt:i4>5</vt:i4>
      </vt:variant>
      <vt:variant>
        <vt:lpwstr>http://www.ons.mr/</vt:lpwstr>
      </vt:variant>
      <vt:variant>
        <vt:lpwstr/>
      </vt:variant>
      <vt:variant>
        <vt:i4>3</vt:i4>
      </vt:variant>
      <vt:variant>
        <vt:i4>102</vt:i4>
      </vt:variant>
      <vt:variant>
        <vt:i4>0</vt:i4>
      </vt:variant>
      <vt:variant>
        <vt:i4>5</vt:i4>
      </vt:variant>
      <vt:variant>
        <vt:lpwstr>http://perspective.usherbrooke.ca/bilan/servlet/BMTendanceImportExport?codeTheme=Exports&amp;codeStat=TO&amp;codePays=MRT</vt:lpwstr>
      </vt:variant>
      <vt:variant>
        <vt:lpwstr/>
      </vt:variant>
      <vt:variant>
        <vt:i4>393242</vt:i4>
      </vt:variant>
      <vt:variant>
        <vt:i4>99</vt:i4>
      </vt:variant>
      <vt:variant>
        <vt:i4>0</vt:i4>
      </vt:variant>
      <vt:variant>
        <vt:i4>5</vt:i4>
      </vt:variant>
      <vt:variant>
        <vt:lpwstr>http://perspective.usherbrooke.ca/bilan/servlet/BMTendanceImportExport?codeTheme=Exports&amp;codeStat=MI&amp;codePays=MRT</vt:lpwstr>
      </vt:variant>
      <vt:variant>
        <vt:lpwstr/>
      </vt:variant>
      <vt:variant>
        <vt:i4>524310</vt:i4>
      </vt:variant>
      <vt:variant>
        <vt:i4>96</vt:i4>
      </vt:variant>
      <vt:variant>
        <vt:i4>0</vt:i4>
      </vt:variant>
      <vt:variant>
        <vt:i4>5</vt:i4>
      </vt:variant>
      <vt:variant>
        <vt:lpwstr>http://perspective.usherbrooke.ca/bilan/servlet/BMTendanceImportExport?codeTheme=Exports&amp;codeStat=AG&amp;codePays=MRT</vt:lpwstr>
      </vt:variant>
      <vt:variant>
        <vt:lpwstr/>
      </vt:variant>
      <vt:variant>
        <vt:i4>917530</vt:i4>
      </vt:variant>
      <vt:variant>
        <vt:i4>93</vt:i4>
      </vt:variant>
      <vt:variant>
        <vt:i4>0</vt:i4>
      </vt:variant>
      <vt:variant>
        <vt:i4>5</vt:i4>
      </vt:variant>
      <vt:variant>
        <vt:lpwstr>http://perspective.usherbrooke.ca/bilan/servlet/BMTendanceImportExport?codeTheme=Exports&amp;codeStat=MA&amp;codePays=MRT</vt:lpwstr>
      </vt:variant>
      <vt:variant>
        <vt:lpwstr/>
      </vt:variant>
      <vt:variant>
        <vt:i4>1048630</vt:i4>
      </vt:variant>
      <vt:variant>
        <vt:i4>89</vt:i4>
      </vt:variant>
      <vt:variant>
        <vt:i4>0</vt:i4>
      </vt:variant>
      <vt:variant>
        <vt:i4>5</vt:i4>
      </vt:variant>
      <vt:variant>
        <vt:lpwstr/>
      </vt:variant>
      <vt:variant>
        <vt:lpwstr>_Toc489388344</vt:lpwstr>
      </vt:variant>
      <vt:variant>
        <vt:i4>1507382</vt:i4>
      </vt:variant>
      <vt:variant>
        <vt:i4>86</vt:i4>
      </vt:variant>
      <vt:variant>
        <vt:i4>0</vt:i4>
      </vt:variant>
      <vt:variant>
        <vt:i4>5</vt:i4>
      </vt:variant>
      <vt:variant>
        <vt:lpwstr/>
      </vt:variant>
      <vt:variant>
        <vt:lpwstr>_Toc489388331</vt:lpwstr>
      </vt:variant>
      <vt:variant>
        <vt:i4>1441846</vt:i4>
      </vt:variant>
      <vt:variant>
        <vt:i4>83</vt:i4>
      </vt:variant>
      <vt:variant>
        <vt:i4>0</vt:i4>
      </vt:variant>
      <vt:variant>
        <vt:i4>5</vt:i4>
      </vt:variant>
      <vt:variant>
        <vt:lpwstr/>
      </vt:variant>
      <vt:variant>
        <vt:lpwstr>_Toc489388325</vt:lpwstr>
      </vt:variant>
      <vt:variant>
        <vt:i4>1376310</vt:i4>
      </vt:variant>
      <vt:variant>
        <vt:i4>80</vt:i4>
      </vt:variant>
      <vt:variant>
        <vt:i4>0</vt:i4>
      </vt:variant>
      <vt:variant>
        <vt:i4>5</vt:i4>
      </vt:variant>
      <vt:variant>
        <vt:lpwstr/>
      </vt:variant>
      <vt:variant>
        <vt:lpwstr>_Toc489388317</vt:lpwstr>
      </vt:variant>
      <vt:variant>
        <vt:i4>1376310</vt:i4>
      </vt:variant>
      <vt:variant>
        <vt:i4>77</vt:i4>
      </vt:variant>
      <vt:variant>
        <vt:i4>0</vt:i4>
      </vt:variant>
      <vt:variant>
        <vt:i4>5</vt:i4>
      </vt:variant>
      <vt:variant>
        <vt:lpwstr/>
      </vt:variant>
      <vt:variant>
        <vt:lpwstr>_Toc489388316</vt:lpwstr>
      </vt:variant>
      <vt:variant>
        <vt:i4>1376310</vt:i4>
      </vt:variant>
      <vt:variant>
        <vt:i4>74</vt:i4>
      </vt:variant>
      <vt:variant>
        <vt:i4>0</vt:i4>
      </vt:variant>
      <vt:variant>
        <vt:i4>5</vt:i4>
      </vt:variant>
      <vt:variant>
        <vt:lpwstr/>
      </vt:variant>
      <vt:variant>
        <vt:lpwstr>_Toc489388315</vt:lpwstr>
      </vt:variant>
      <vt:variant>
        <vt:i4>1376310</vt:i4>
      </vt:variant>
      <vt:variant>
        <vt:i4>71</vt:i4>
      </vt:variant>
      <vt:variant>
        <vt:i4>0</vt:i4>
      </vt:variant>
      <vt:variant>
        <vt:i4>5</vt:i4>
      </vt:variant>
      <vt:variant>
        <vt:lpwstr/>
      </vt:variant>
      <vt:variant>
        <vt:lpwstr>_Toc489388314</vt:lpwstr>
      </vt:variant>
      <vt:variant>
        <vt:i4>1376310</vt:i4>
      </vt:variant>
      <vt:variant>
        <vt:i4>68</vt:i4>
      </vt:variant>
      <vt:variant>
        <vt:i4>0</vt:i4>
      </vt:variant>
      <vt:variant>
        <vt:i4>5</vt:i4>
      </vt:variant>
      <vt:variant>
        <vt:lpwstr/>
      </vt:variant>
      <vt:variant>
        <vt:lpwstr>_Toc489388313</vt:lpwstr>
      </vt:variant>
      <vt:variant>
        <vt:i4>1376310</vt:i4>
      </vt:variant>
      <vt:variant>
        <vt:i4>65</vt:i4>
      </vt:variant>
      <vt:variant>
        <vt:i4>0</vt:i4>
      </vt:variant>
      <vt:variant>
        <vt:i4>5</vt:i4>
      </vt:variant>
      <vt:variant>
        <vt:lpwstr/>
      </vt:variant>
      <vt:variant>
        <vt:lpwstr>_Toc489388312</vt:lpwstr>
      </vt:variant>
      <vt:variant>
        <vt:i4>1376310</vt:i4>
      </vt:variant>
      <vt:variant>
        <vt:i4>62</vt:i4>
      </vt:variant>
      <vt:variant>
        <vt:i4>0</vt:i4>
      </vt:variant>
      <vt:variant>
        <vt:i4>5</vt:i4>
      </vt:variant>
      <vt:variant>
        <vt:lpwstr/>
      </vt:variant>
      <vt:variant>
        <vt:lpwstr>_Toc489388311</vt:lpwstr>
      </vt:variant>
      <vt:variant>
        <vt:i4>1376310</vt:i4>
      </vt:variant>
      <vt:variant>
        <vt:i4>59</vt:i4>
      </vt:variant>
      <vt:variant>
        <vt:i4>0</vt:i4>
      </vt:variant>
      <vt:variant>
        <vt:i4>5</vt:i4>
      </vt:variant>
      <vt:variant>
        <vt:lpwstr/>
      </vt:variant>
      <vt:variant>
        <vt:lpwstr>_Toc489388310</vt:lpwstr>
      </vt:variant>
      <vt:variant>
        <vt:i4>1310774</vt:i4>
      </vt:variant>
      <vt:variant>
        <vt:i4>56</vt:i4>
      </vt:variant>
      <vt:variant>
        <vt:i4>0</vt:i4>
      </vt:variant>
      <vt:variant>
        <vt:i4>5</vt:i4>
      </vt:variant>
      <vt:variant>
        <vt:lpwstr/>
      </vt:variant>
      <vt:variant>
        <vt:lpwstr>_Toc489388308</vt:lpwstr>
      </vt:variant>
      <vt:variant>
        <vt:i4>1310774</vt:i4>
      </vt:variant>
      <vt:variant>
        <vt:i4>53</vt:i4>
      </vt:variant>
      <vt:variant>
        <vt:i4>0</vt:i4>
      </vt:variant>
      <vt:variant>
        <vt:i4>5</vt:i4>
      </vt:variant>
      <vt:variant>
        <vt:lpwstr/>
      </vt:variant>
      <vt:variant>
        <vt:lpwstr>_Toc489388305</vt:lpwstr>
      </vt:variant>
      <vt:variant>
        <vt:i4>1310774</vt:i4>
      </vt:variant>
      <vt:variant>
        <vt:i4>50</vt:i4>
      </vt:variant>
      <vt:variant>
        <vt:i4>0</vt:i4>
      </vt:variant>
      <vt:variant>
        <vt:i4>5</vt:i4>
      </vt:variant>
      <vt:variant>
        <vt:lpwstr/>
      </vt:variant>
      <vt:variant>
        <vt:lpwstr>_Toc489388304</vt:lpwstr>
      </vt:variant>
      <vt:variant>
        <vt:i4>1310774</vt:i4>
      </vt:variant>
      <vt:variant>
        <vt:i4>47</vt:i4>
      </vt:variant>
      <vt:variant>
        <vt:i4>0</vt:i4>
      </vt:variant>
      <vt:variant>
        <vt:i4>5</vt:i4>
      </vt:variant>
      <vt:variant>
        <vt:lpwstr/>
      </vt:variant>
      <vt:variant>
        <vt:lpwstr>_Toc489388302</vt:lpwstr>
      </vt:variant>
      <vt:variant>
        <vt:i4>1310774</vt:i4>
      </vt:variant>
      <vt:variant>
        <vt:i4>44</vt:i4>
      </vt:variant>
      <vt:variant>
        <vt:i4>0</vt:i4>
      </vt:variant>
      <vt:variant>
        <vt:i4>5</vt:i4>
      </vt:variant>
      <vt:variant>
        <vt:lpwstr/>
      </vt:variant>
      <vt:variant>
        <vt:lpwstr>_Toc489388301</vt:lpwstr>
      </vt:variant>
      <vt:variant>
        <vt:i4>1310774</vt:i4>
      </vt:variant>
      <vt:variant>
        <vt:i4>41</vt:i4>
      </vt:variant>
      <vt:variant>
        <vt:i4>0</vt:i4>
      </vt:variant>
      <vt:variant>
        <vt:i4>5</vt:i4>
      </vt:variant>
      <vt:variant>
        <vt:lpwstr/>
      </vt:variant>
      <vt:variant>
        <vt:lpwstr>_Toc489388300</vt:lpwstr>
      </vt:variant>
      <vt:variant>
        <vt:i4>1900599</vt:i4>
      </vt:variant>
      <vt:variant>
        <vt:i4>38</vt:i4>
      </vt:variant>
      <vt:variant>
        <vt:i4>0</vt:i4>
      </vt:variant>
      <vt:variant>
        <vt:i4>5</vt:i4>
      </vt:variant>
      <vt:variant>
        <vt:lpwstr/>
      </vt:variant>
      <vt:variant>
        <vt:lpwstr>_Toc489388299</vt:lpwstr>
      </vt:variant>
      <vt:variant>
        <vt:i4>1900599</vt:i4>
      </vt:variant>
      <vt:variant>
        <vt:i4>35</vt:i4>
      </vt:variant>
      <vt:variant>
        <vt:i4>0</vt:i4>
      </vt:variant>
      <vt:variant>
        <vt:i4>5</vt:i4>
      </vt:variant>
      <vt:variant>
        <vt:lpwstr/>
      </vt:variant>
      <vt:variant>
        <vt:lpwstr>_Toc489388298</vt:lpwstr>
      </vt:variant>
      <vt:variant>
        <vt:i4>1900599</vt:i4>
      </vt:variant>
      <vt:variant>
        <vt:i4>32</vt:i4>
      </vt:variant>
      <vt:variant>
        <vt:i4>0</vt:i4>
      </vt:variant>
      <vt:variant>
        <vt:i4>5</vt:i4>
      </vt:variant>
      <vt:variant>
        <vt:lpwstr/>
      </vt:variant>
      <vt:variant>
        <vt:lpwstr>_Toc489388297</vt:lpwstr>
      </vt:variant>
      <vt:variant>
        <vt:i4>1900599</vt:i4>
      </vt:variant>
      <vt:variant>
        <vt:i4>29</vt:i4>
      </vt:variant>
      <vt:variant>
        <vt:i4>0</vt:i4>
      </vt:variant>
      <vt:variant>
        <vt:i4>5</vt:i4>
      </vt:variant>
      <vt:variant>
        <vt:lpwstr/>
      </vt:variant>
      <vt:variant>
        <vt:lpwstr>_Toc489388296</vt:lpwstr>
      </vt:variant>
      <vt:variant>
        <vt:i4>1900599</vt:i4>
      </vt:variant>
      <vt:variant>
        <vt:i4>26</vt:i4>
      </vt:variant>
      <vt:variant>
        <vt:i4>0</vt:i4>
      </vt:variant>
      <vt:variant>
        <vt:i4>5</vt:i4>
      </vt:variant>
      <vt:variant>
        <vt:lpwstr/>
      </vt:variant>
      <vt:variant>
        <vt:lpwstr>_Toc489388295</vt:lpwstr>
      </vt:variant>
      <vt:variant>
        <vt:i4>1900599</vt:i4>
      </vt:variant>
      <vt:variant>
        <vt:i4>23</vt:i4>
      </vt:variant>
      <vt:variant>
        <vt:i4>0</vt:i4>
      </vt:variant>
      <vt:variant>
        <vt:i4>5</vt:i4>
      </vt:variant>
      <vt:variant>
        <vt:lpwstr/>
      </vt:variant>
      <vt:variant>
        <vt:lpwstr>_Toc489388294</vt:lpwstr>
      </vt:variant>
      <vt:variant>
        <vt:i4>1900599</vt:i4>
      </vt:variant>
      <vt:variant>
        <vt:i4>20</vt:i4>
      </vt:variant>
      <vt:variant>
        <vt:i4>0</vt:i4>
      </vt:variant>
      <vt:variant>
        <vt:i4>5</vt:i4>
      </vt:variant>
      <vt:variant>
        <vt:lpwstr/>
      </vt:variant>
      <vt:variant>
        <vt:lpwstr>_Toc489388293</vt:lpwstr>
      </vt:variant>
      <vt:variant>
        <vt:i4>1900599</vt:i4>
      </vt:variant>
      <vt:variant>
        <vt:i4>17</vt:i4>
      </vt:variant>
      <vt:variant>
        <vt:i4>0</vt:i4>
      </vt:variant>
      <vt:variant>
        <vt:i4>5</vt:i4>
      </vt:variant>
      <vt:variant>
        <vt:lpwstr/>
      </vt:variant>
      <vt:variant>
        <vt:lpwstr>_Toc489388292</vt:lpwstr>
      </vt:variant>
      <vt:variant>
        <vt:i4>1900599</vt:i4>
      </vt:variant>
      <vt:variant>
        <vt:i4>14</vt:i4>
      </vt:variant>
      <vt:variant>
        <vt:i4>0</vt:i4>
      </vt:variant>
      <vt:variant>
        <vt:i4>5</vt:i4>
      </vt:variant>
      <vt:variant>
        <vt:lpwstr/>
      </vt:variant>
      <vt:variant>
        <vt:lpwstr>_Toc489388291</vt:lpwstr>
      </vt:variant>
      <vt:variant>
        <vt:i4>1900599</vt:i4>
      </vt:variant>
      <vt:variant>
        <vt:i4>11</vt:i4>
      </vt:variant>
      <vt:variant>
        <vt:i4>0</vt:i4>
      </vt:variant>
      <vt:variant>
        <vt:i4>5</vt:i4>
      </vt:variant>
      <vt:variant>
        <vt:lpwstr/>
      </vt:variant>
      <vt:variant>
        <vt:lpwstr>_Toc489388290</vt:lpwstr>
      </vt:variant>
      <vt:variant>
        <vt:i4>1835063</vt:i4>
      </vt:variant>
      <vt:variant>
        <vt:i4>8</vt:i4>
      </vt:variant>
      <vt:variant>
        <vt:i4>0</vt:i4>
      </vt:variant>
      <vt:variant>
        <vt:i4>5</vt:i4>
      </vt:variant>
      <vt:variant>
        <vt:lpwstr/>
      </vt:variant>
      <vt:variant>
        <vt:lpwstr>_Toc489388289</vt:lpwstr>
      </vt:variant>
      <vt:variant>
        <vt:i4>1835063</vt:i4>
      </vt:variant>
      <vt:variant>
        <vt:i4>5</vt:i4>
      </vt:variant>
      <vt:variant>
        <vt:i4>0</vt:i4>
      </vt:variant>
      <vt:variant>
        <vt:i4>5</vt:i4>
      </vt:variant>
      <vt:variant>
        <vt:lpwstr/>
      </vt:variant>
      <vt:variant>
        <vt:lpwstr>_Toc489388288</vt:lpwstr>
      </vt:variant>
      <vt:variant>
        <vt:i4>1835063</vt:i4>
      </vt:variant>
      <vt:variant>
        <vt:i4>2</vt:i4>
      </vt:variant>
      <vt:variant>
        <vt:i4>0</vt:i4>
      </vt:variant>
      <vt:variant>
        <vt:i4>5</vt:i4>
      </vt:variant>
      <vt:variant>
        <vt:lpwstr/>
      </vt:variant>
      <vt:variant>
        <vt:lpwstr>_Toc489388287</vt:lpwstr>
      </vt:variant>
      <vt:variant>
        <vt:i4>1703954</vt:i4>
      </vt:variant>
      <vt:variant>
        <vt:i4>0</vt:i4>
      </vt:variant>
      <vt:variant>
        <vt:i4>0</vt:i4>
      </vt:variant>
      <vt:variant>
        <vt:i4>5</vt:i4>
      </vt:variant>
      <vt:variant>
        <vt:lpwstr>http://www.safa-mr.com/howto.html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Amadou Ly</cp:lastModifiedBy>
  <cp:revision>48</cp:revision>
  <cp:lastPrinted>2024-02-04T15:55:00Z</cp:lastPrinted>
  <dcterms:created xsi:type="dcterms:W3CDTF">2024-02-04T14:17:00Z</dcterms:created>
  <dcterms:modified xsi:type="dcterms:W3CDTF">2024-02-04T15:56:00Z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